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435A">
      <w:pPr>
        <w:spacing w:line="680" w:lineRule="exact"/>
        <w:ind w:left="6" w:right="4"/>
        <w:jc w:val="center"/>
        <w:rPr>
          <w:rFonts w:hint="eastAsia" w:ascii="宋体" w:hAnsi="宋体" w:eastAsia="宋体" w:cs="Times New Roman"/>
          <w:b/>
          <w:sz w:val="44"/>
          <w:szCs w:val="44"/>
        </w:rPr>
      </w:pPr>
    </w:p>
    <w:p w14:paraId="6EEE6701">
      <w:pPr>
        <w:spacing w:line="680" w:lineRule="exact"/>
        <w:ind w:left="6" w:right="4"/>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2024年度档案资料数字化建设项目</w:t>
      </w:r>
    </w:p>
    <w:p w14:paraId="5211F14E">
      <w:pPr>
        <w:spacing w:line="680" w:lineRule="exact"/>
        <w:ind w:left="6" w:right="4"/>
        <w:jc w:val="center"/>
        <w:rPr>
          <w:rFonts w:ascii="宋体" w:hAnsi="宋体" w:eastAsia="宋体"/>
          <w:b/>
          <w:sz w:val="44"/>
          <w:szCs w:val="44"/>
        </w:rPr>
      </w:pPr>
      <w:r>
        <w:rPr>
          <w:rFonts w:ascii="宋体" w:hAnsi="宋体" w:eastAsia="宋体"/>
          <w:b/>
          <w:bCs/>
          <w:sz w:val="44"/>
          <w:szCs w:val="44"/>
        </w:rPr>
        <w:t>支出绩效评价报告</w:t>
      </w:r>
    </w:p>
    <w:p w14:paraId="272788FE">
      <w:pPr>
        <w:pStyle w:val="3"/>
        <w:spacing w:line="680" w:lineRule="exact"/>
        <w:rPr>
          <w:sz w:val="56"/>
        </w:rPr>
      </w:pPr>
    </w:p>
    <w:p w14:paraId="229BE081">
      <w:pPr>
        <w:pStyle w:val="3"/>
        <w:spacing w:line="680" w:lineRule="exact"/>
        <w:rPr>
          <w:sz w:val="56"/>
        </w:rPr>
      </w:pPr>
    </w:p>
    <w:p w14:paraId="7D2C6229">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w:t>
      </w:r>
    </w:p>
    <w:p w14:paraId="509CAF21">
      <w:pPr>
        <w:spacing w:line="578" w:lineRule="exact"/>
        <w:ind w:left="1600" w:hanging="1600" w:hangingChars="500"/>
        <w:rPr>
          <w:rFonts w:ascii="仿宋_GB2312" w:hAnsi="仿宋" w:eastAsia="仿宋_GB2312" w:cs="仿宋"/>
          <w:sz w:val="32"/>
          <w:szCs w:val="32"/>
        </w:rPr>
      </w:pPr>
    </w:p>
    <w:p w14:paraId="16896AFF">
      <w:pPr>
        <w:spacing w:line="578" w:lineRule="exact"/>
        <w:ind w:left="1600" w:hanging="1600" w:hangingChars="500"/>
        <w:rPr>
          <w:rFonts w:ascii="仿宋_GB2312" w:hAnsi="仿宋" w:eastAsia="仿宋_GB2312" w:cs="仿宋"/>
          <w:sz w:val="32"/>
          <w:szCs w:val="32"/>
        </w:rPr>
      </w:pPr>
    </w:p>
    <w:p w14:paraId="6F2B8505">
      <w:pPr>
        <w:spacing w:line="578" w:lineRule="exact"/>
        <w:ind w:left="1600" w:hanging="1600" w:hangingChars="500"/>
        <w:rPr>
          <w:rFonts w:ascii="仿宋_GB2312" w:hAnsi="仿宋" w:eastAsia="仿宋_GB2312" w:cs="仿宋"/>
          <w:sz w:val="32"/>
          <w:szCs w:val="32"/>
        </w:rPr>
      </w:pPr>
    </w:p>
    <w:p w14:paraId="3D5C9808">
      <w:pPr>
        <w:spacing w:line="578" w:lineRule="exact"/>
        <w:ind w:left="1600" w:hanging="1600" w:hangingChars="500"/>
        <w:rPr>
          <w:rFonts w:ascii="仿宋_GB2312" w:hAnsi="仿宋" w:eastAsia="仿宋_GB2312" w:cs="仿宋"/>
          <w:sz w:val="32"/>
          <w:szCs w:val="32"/>
        </w:rPr>
      </w:pPr>
    </w:p>
    <w:p w14:paraId="2822938D">
      <w:pPr>
        <w:spacing w:line="578" w:lineRule="exact"/>
        <w:ind w:left="1600" w:hanging="1600" w:hangingChars="500"/>
        <w:rPr>
          <w:rFonts w:ascii="仿宋_GB2312" w:hAnsi="仿宋" w:eastAsia="仿宋_GB2312" w:cs="仿宋"/>
          <w:sz w:val="32"/>
          <w:szCs w:val="32"/>
        </w:rPr>
      </w:pPr>
    </w:p>
    <w:p w14:paraId="2B628381">
      <w:pPr>
        <w:spacing w:line="578" w:lineRule="exact"/>
        <w:ind w:left="1600" w:hanging="1600" w:hangingChars="500"/>
        <w:rPr>
          <w:rFonts w:ascii="仿宋_GB2312" w:hAnsi="仿宋" w:eastAsia="仿宋_GB2312" w:cs="仿宋"/>
          <w:sz w:val="32"/>
          <w:szCs w:val="32"/>
          <w:u w:val="single"/>
        </w:rPr>
      </w:pPr>
      <w:r>
        <w:rPr>
          <w:rFonts w:hint="eastAsia" w:ascii="仿宋_GB2312" w:hAnsi="仿宋" w:eastAsia="仿宋_GB2312" w:cs="仿宋"/>
          <w:sz w:val="32"/>
          <w:szCs w:val="32"/>
        </w:rPr>
        <w:t xml:space="preserve">          项目名称：</w:t>
      </w:r>
      <w:r>
        <w:rPr>
          <w:rFonts w:hint="eastAsia" w:ascii="仿宋_GB2312" w:hAnsi="仿宋" w:eastAsia="仿宋_GB2312" w:cs="仿宋"/>
          <w:sz w:val="32"/>
          <w:szCs w:val="32"/>
          <w:u w:val="single"/>
          <w:lang w:eastAsia="zh-CN"/>
        </w:rPr>
        <w:t>档案资料数字化建设</w:t>
      </w:r>
      <w:r>
        <w:rPr>
          <w:rFonts w:hint="default" w:ascii="仿宋_GB2312" w:hAnsi="仿宋" w:eastAsia="仿宋_GB2312" w:cs="仿宋"/>
          <w:sz w:val="32"/>
          <w:szCs w:val="32"/>
          <w:u w:val="single"/>
          <w:lang w:eastAsia="zh-CN"/>
        </w:rPr>
        <w:t>项目</w:t>
      </w:r>
      <w:r>
        <w:rPr>
          <w:rFonts w:hint="eastAsia" w:ascii="仿宋_GB2312" w:hAnsi="仿宋" w:eastAsia="仿宋_GB2312" w:cs="仿宋"/>
          <w:sz w:val="32"/>
          <w:szCs w:val="32"/>
          <w:u w:val="single"/>
        </w:rPr>
        <w:t xml:space="preserve"> </w:t>
      </w:r>
    </w:p>
    <w:p w14:paraId="003E242B">
      <w:pPr>
        <w:spacing w:line="578" w:lineRule="exact"/>
        <w:ind w:left="1600" w:hanging="1600" w:hangingChars="500"/>
        <w:rPr>
          <w:rFonts w:ascii="仿宋_GB2312" w:hAnsi="仿宋" w:eastAsia="仿宋_GB2312" w:cs="仿宋"/>
          <w:sz w:val="32"/>
          <w:szCs w:val="32"/>
          <w:u w:val="single"/>
        </w:rPr>
      </w:pPr>
      <w:r>
        <w:rPr>
          <w:rFonts w:hint="eastAsia" w:ascii="仿宋_GB2312" w:hAnsi="仿宋" w:eastAsia="仿宋_GB2312" w:cs="仿宋"/>
          <w:sz w:val="32"/>
          <w:szCs w:val="32"/>
        </w:rPr>
        <w:t xml:space="preserve">          项目主管部门：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甘肃省档案馆</w:t>
      </w:r>
      <w:r>
        <w:rPr>
          <w:rFonts w:hint="default" w:ascii="仿宋_GB2312" w:hAnsi="仿宋" w:eastAsia="仿宋_GB2312" w:cs="仿宋"/>
          <w:sz w:val="32"/>
          <w:szCs w:val="32"/>
          <w:u w:val="single"/>
          <w:lang w:eastAsia="zh-CN"/>
        </w:rPr>
        <w:t xml:space="preserve">  </w:t>
      </w:r>
      <w:r>
        <w:rPr>
          <w:rFonts w:hint="eastAsia" w:ascii="仿宋_GB2312" w:hAnsi="仿宋" w:eastAsia="仿宋_GB2312" w:cs="仿宋"/>
          <w:sz w:val="32"/>
          <w:szCs w:val="32"/>
          <w:u w:val="single"/>
        </w:rPr>
        <w:t xml:space="preserve">   </w:t>
      </w:r>
    </w:p>
    <w:p w14:paraId="030988C2">
      <w:pPr>
        <w:spacing w:line="578" w:lineRule="exact"/>
        <w:rPr>
          <w:rFonts w:hint="default" w:ascii="仿宋_GB2312" w:hAnsi="仿宋" w:eastAsia="仿宋_GB2312" w:cs="仿宋"/>
          <w:sz w:val="32"/>
          <w:szCs w:val="32"/>
          <w:u w:val="single"/>
        </w:rPr>
      </w:pPr>
      <w:r>
        <w:rPr>
          <w:rFonts w:hint="eastAsia" w:ascii="仿宋_GB2312" w:hAnsi="仿宋" w:eastAsia="仿宋_GB2312" w:cs="仿宋"/>
          <w:sz w:val="32"/>
          <w:szCs w:val="32"/>
        </w:rPr>
        <w:t xml:space="preserve">          评价实施部门：</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电子文件管理处</w:t>
      </w:r>
      <w:r>
        <w:rPr>
          <w:rFonts w:hint="default" w:ascii="仿宋_GB2312" w:hAnsi="仿宋" w:eastAsia="仿宋_GB2312" w:cs="仿宋"/>
          <w:sz w:val="32"/>
          <w:szCs w:val="32"/>
          <w:u w:val="single"/>
          <w:lang w:eastAsia="zh-CN"/>
        </w:rPr>
        <w:t xml:space="preserve">    </w:t>
      </w:r>
    </w:p>
    <w:p w14:paraId="6B0A5411">
      <w:pPr>
        <w:spacing w:line="578" w:lineRule="exact"/>
        <w:rPr>
          <w:rFonts w:ascii="仿宋_GB2312" w:hAnsi="仿宋" w:eastAsia="仿宋_GB2312" w:cs="仿宋"/>
          <w:sz w:val="32"/>
          <w:szCs w:val="32"/>
          <w:u w:val="single"/>
        </w:rPr>
      </w:pPr>
      <w:r>
        <w:rPr>
          <w:rFonts w:hint="eastAsia" w:ascii="仿宋_GB2312" w:hAnsi="仿宋" w:eastAsia="仿宋_GB2312" w:cs="仿宋"/>
          <w:sz w:val="32"/>
          <w:szCs w:val="32"/>
        </w:rPr>
        <w:t xml:space="preserve">          评价机构名称：</w:t>
      </w:r>
      <w:r>
        <w:rPr>
          <w:rFonts w:hint="eastAsia" w:ascii="仿宋_GB2312" w:hAnsi="仿宋" w:eastAsia="仿宋_GB2312" w:cs="仿宋"/>
          <w:sz w:val="32"/>
          <w:szCs w:val="32"/>
          <w:u w:val="single"/>
        </w:rPr>
        <w:t xml:space="preserve"> </w:t>
      </w:r>
      <w:r>
        <w:rPr>
          <w:rFonts w:hint="default" w:ascii="仿宋_GB2312" w:hAnsi="仿宋" w:eastAsia="仿宋_GB2312" w:cs="仿宋"/>
          <w:sz w:val="32"/>
          <w:szCs w:val="32"/>
          <w:u w:val="single"/>
        </w:rPr>
        <w:t>办公室（财务）</w:t>
      </w:r>
      <w:r>
        <w:rPr>
          <w:rFonts w:hint="eastAsia" w:ascii="仿宋_GB2312" w:hAnsi="仿宋" w:eastAsia="仿宋_GB2312" w:cs="仿宋"/>
          <w:sz w:val="32"/>
          <w:szCs w:val="32"/>
          <w:u w:val="single"/>
        </w:rPr>
        <w:t xml:space="preserve">    </w:t>
      </w:r>
    </w:p>
    <w:p w14:paraId="1CAB5FC2">
      <w:pPr>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p>
    <w:p w14:paraId="1A972A2C">
      <w:pPr>
        <w:spacing w:line="578" w:lineRule="exact"/>
        <w:rPr>
          <w:rFonts w:ascii="仿宋_GB2312" w:hAnsi="仿宋" w:eastAsia="仿宋_GB2312" w:cs="仿宋"/>
          <w:sz w:val="32"/>
          <w:szCs w:val="32"/>
        </w:rPr>
      </w:pPr>
    </w:p>
    <w:p w14:paraId="329280C1">
      <w:pPr>
        <w:spacing w:line="578" w:lineRule="exact"/>
        <w:rPr>
          <w:rFonts w:ascii="仿宋_GB2312" w:hAnsi="仿宋" w:eastAsia="仿宋_GB2312" w:cs="仿宋"/>
          <w:sz w:val="32"/>
          <w:szCs w:val="32"/>
        </w:rPr>
      </w:pPr>
    </w:p>
    <w:p w14:paraId="768393D7">
      <w:pPr>
        <w:spacing w:line="578" w:lineRule="exact"/>
        <w:rPr>
          <w:sz w:val="73"/>
        </w:rPr>
      </w:pPr>
    </w:p>
    <w:p w14:paraId="4A2DD6E5">
      <w:pPr>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w:t>
      </w:r>
      <w:r>
        <w:rPr>
          <w:rFonts w:hint="default" w:ascii="仿宋_GB2312" w:hAnsi="仿宋" w:eastAsia="仿宋_GB2312" w:cs="仿宋"/>
          <w:sz w:val="32"/>
          <w:szCs w:val="32"/>
        </w:rPr>
        <w:t>8</w:t>
      </w:r>
      <w:r>
        <w:rPr>
          <w:rFonts w:hint="eastAsia" w:ascii="仿宋_GB2312" w:hAnsi="仿宋" w:eastAsia="仿宋_GB2312" w:cs="仿宋"/>
          <w:sz w:val="32"/>
          <w:szCs w:val="32"/>
        </w:rPr>
        <w:t>月</w:t>
      </w:r>
    </w:p>
    <w:p w14:paraId="1198517F">
      <w:pPr>
        <w:spacing w:line="680" w:lineRule="exact"/>
        <w:jc w:val="center"/>
        <w:rPr>
          <w:rFonts w:ascii="黑体" w:hAnsi="黑体" w:eastAsia="黑体"/>
        </w:rPr>
        <w:sectPr>
          <w:footerReference r:id="rId3" w:type="default"/>
          <w:pgSz w:w="11910" w:h="16840"/>
          <w:pgMar w:top="1474" w:right="1984" w:bottom="1587" w:left="1984" w:header="0" w:footer="1134" w:gutter="0"/>
          <w:pgNumType w:fmt="decimal" w:start="0"/>
          <w:cols w:space="720" w:num="1"/>
        </w:sectPr>
      </w:pPr>
    </w:p>
    <w:p w14:paraId="5BFABB9A">
      <w:pPr>
        <w:spacing w:line="680" w:lineRule="exact"/>
        <w:ind w:left="5" w:right="4"/>
        <w:jc w:val="center"/>
        <w:rPr>
          <w:rFonts w:ascii="黑体" w:eastAsia="黑体"/>
          <w:sz w:val="36"/>
          <w:szCs w:val="36"/>
        </w:rPr>
      </w:pPr>
    </w:p>
    <w:p w14:paraId="7F73B164">
      <w:pPr>
        <w:spacing w:line="660" w:lineRule="exact"/>
        <w:ind w:left="5" w:right="4"/>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报告摘要</w:t>
      </w:r>
    </w:p>
    <w:p w14:paraId="19A6616D">
      <w:pPr>
        <w:pStyle w:val="3"/>
        <w:spacing w:line="660" w:lineRule="exact"/>
        <w:ind w:left="753"/>
        <w:rPr>
          <w:rFonts w:ascii="黑体" w:eastAsia="黑体"/>
        </w:rPr>
      </w:pPr>
    </w:p>
    <w:p w14:paraId="4142A69F">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ascii="黑体" w:eastAsia="黑体"/>
        </w:rPr>
      </w:pPr>
      <w:r>
        <w:rPr>
          <w:rFonts w:hint="eastAsia" w:ascii="黑体" w:eastAsia="黑体"/>
        </w:rPr>
        <w:t>一、项目基本情况</w:t>
      </w:r>
    </w:p>
    <w:p w14:paraId="3E37AC49">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（一）项目立项背景及实施目的</w:t>
      </w:r>
    </w:p>
    <w:p w14:paraId="6B69BDFB">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项目实施背景：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w:t>
      </w:r>
    </w:p>
    <w:p w14:paraId="7E5644DB">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rPr>
        <w:t>2.项目实施</w:t>
      </w:r>
      <w:r>
        <w:rPr>
          <w:rFonts w:hint="eastAsia" w:ascii="仿宋_GB2312" w:hAnsi="仿宋_GB2312" w:eastAsia="仿宋_GB2312" w:cs="仿宋_GB2312"/>
          <w:lang w:eastAsia="zh-CN"/>
        </w:rPr>
        <w:t>目的</w:t>
      </w:r>
      <w:r>
        <w:rPr>
          <w:rFonts w:hint="eastAsia" w:ascii="仿宋_GB2312" w:hAnsi="仿宋_GB2312" w:eastAsia="仿宋_GB2312" w:cs="仿宋_GB2312"/>
        </w:rPr>
        <w:t>：按计划分年度、分阶段地完成档案资料的目录及原文著录及扫描。</w:t>
      </w:r>
      <w:r>
        <w:rPr>
          <w:rFonts w:hint="eastAsia" w:ascii="仿宋_GB2312" w:hAnsi="仿宋_GB2312" w:eastAsia="仿宋_GB2312" w:cs="仿宋_GB2312"/>
          <w:lang w:eastAsia="zh-CN"/>
        </w:rPr>
        <w:t>使得纸质档案转化成数字化模式，数字化形成的目录数据库与图像数据库在确认“合格”后，通过网络及时加载到服务器终端汇总，实现批量、快速挂接，方便大众查阅利用，提高档案管理、使用效率。</w:t>
      </w:r>
    </w:p>
    <w:p w14:paraId="14DD7C83">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（二）项目预算安排和支出情况</w:t>
      </w:r>
    </w:p>
    <w:p w14:paraId="1B8271CF">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负责管理，按照项目进度支付。截止2024年12月31日，完成项目经费支付</w:t>
      </w:r>
      <w:r>
        <w:rPr>
          <w:rFonts w:hint="eastAsia" w:ascii="仿宋_GB2312" w:hAnsi="仿宋_GB2312" w:eastAsia="仿宋_GB2312" w:cs="仿宋_GB2312"/>
          <w:sz w:val="32"/>
          <w:szCs w:val="32"/>
          <w:lang w:val="en-US" w:eastAsia="zh-CN"/>
        </w:rPr>
        <w:t>98.52</w:t>
      </w:r>
      <w:r>
        <w:rPr>
          <w:rFonts w:hint="eastAsia" w:ascii="仿宋_GB2312" w:hAnsi="仿宋_GB2312" w:eastAsia="仿宋_GB2312" w:cs="仿宋_GB2312"/>
          <w:lang w:val="en-US" w:eastAsia="zh-CN"/>
        </w:rPr>
        <w:t>万元，支付进度</w:t>
      </w:r>
      <w:r>
        <w:rPr>
          <w:rFonts w:hint="eastAsia" w:ascii="仿宋_GB2312" w:hAnsi="仿宋_GB2312" w:eastAsia="仿宋_GB2312" w:cs="仿宋_GB2312"/>
          <w:sz w:val="32"/>
          <w:szCs w:val="32"/>
          <w:lang w:val="en-US" w:eastAsia="zh-CN"/>
        </w:rPr>
        <w:t>98.52</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96.98分</w:t>
      </w:r>
      <w:r>
        <w:rPr>
          <w:rFonts w:hint="eastAsia" w:ascii="仿宋_GB2312" w:hAnsi="仿宋_GB2312" w:eastAsia="仿宋_GB2312" w:cs="仿宋_GB2312"/>
          <w:sz w:val="32"/>
          <w:szCs w:val="32"/>
        </w:rPr>
        <w:t>。</w:t>
      </w:r>
    </w:p>
    <w:p w14:paraId="65F3792B">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（三）</w:t>
      </w:r>
      <w:r>
        <w:rPr>
          <w:rFonts w:hint="eastAsia" w:ascii="楷体" w:hAnsi="楷体" w:eastAsia="楷体" w:cs="楷体"/>
        </w:rPr>
        <w:t>项目主要内容和实施情况</w:t>
      </w:r>
    </w:p>
    <w:p w14:paraId="167D327A">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主要内容：馆藏档案目录必须通过人工录入，其原文可以通过扫描、光学识别等方法转换为数字形式。目录和原文应做到一体化管理，即目录和原文紧密联系，通过目录即可找到对应的原文。本项目主要由电子文件</w:t>
      </w:r>
      <w:r>
        <w:rPr>
          <w:rFonts w:hint="default" w:ascii="仿宋_GB2312" w:hAnsi="仿宋_GB2312" w:eastAsia="仿宋_GB2312" w:cs="仿宋_GB2312"/>
          <w:lang w:val="en-US" w:eastAsia="zh-CN"/>
        </w:rPr>
        <w:t>管理</w:t>
      </w:r>
      <w:r>
        <w:rPr>
          <w:rFonts w:hint="eastAsia" w:ascii="仿宋_GB2312" w:hAnsi="仿宋_GB2312" w:eastAsia="仿宋_GB2312" w:cs="仿宋_GB2312"/>
          <w:lang w:val="en-US" w:eastAsia="zh-CN"/>
        </w:rPr>
        <w:t>处负责，各职能处室密切配合，保障项目工作的正常有序开展。</w:t>
      </w:r>
    </w:p>
    <w:p w14:paraId="3D626DD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kern w:val="2"/>
          <w:sz w:val="32"/>
          <w:szCs w:val="32"/>
          <w:lang w:val="en-US" w:eastAsia="zh-CN" w:bidi="ar-SA"/>
        </w:rPr>
        <w:t>2、实施情况：⑴2024年3月15日</w:t>
      </w:r>
      <w:r>
        <w:rPr>
          <w:rFonts w:hint="default" w:ascii="仿宋_GB2312" w:hAnsi="仿宋_GB2312" w:eastAsia="仿宋_GB2312" w:cs="仿宋_GB2312"/>
          <w:kern w:val="2"/>
          <w:sz w:val="32"/>
          <w:szCs w:val="32"/>
          <w:lang w:val="en-US" w:eastAsia="zh-CN" w:bidi="ar-SA"/>
        </w:rPr>
        <w:t>第</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次</w:t>
      </w:r>
      <w:r>
        <w:rPr>
          <w:rFonts w:hint="eastAsia" w:ascii="仿宋_GB2312" w:hAnsi="仿宋_GB2312" w:eastAsia="仿宋_GB2312" w:cs="仿宋_GB2312"/>
          <w:kern w:val="2"/>
          <w:sz w:val="32"/>
          <w:szCs w:val="32"/>
          <w:lang w:val="en-US" w:eastAsia="zh-CN" w:bidi="ar-SA"/>
        </w:rPr>
        <w:t>馆</w:t>
      </w:r>
      <w:r>
        <w:rPr>
          <w:rFonts w:hint="default" w:ascii="仿宋_GB2312" w:hAnsi="仿宋_GB2312" w:eastAsia="仿宋_GB2312" w:cs="仿宋_GB2312"/>
          <w:kern w:val="2"/>
          <w:sz w:val="32"/>
          <w:szCs w:val="32"/>
          <w:lang w:val="en-US" w:eastAsia="zh-CN" w:bidi="ar-SA"/>
        </w:rPr>
        <w:t>务</w:t>
      </w:r>
      <w:r>
        <w:rPr>
          <w:rFonts w:hint="eastAsia" w:ascii="仿宋_GB2312" w:hAnsi="仿宋_GB2312" w:eastAsia="仿宋_GB2312" w:cs="仿宋_GB2312"/>
          <w:kern w:val="2"/>
          <w:sz w:val="32"/>
          <w:szCs w:val="32"/>
          <w:lang w:val="en-US" w:eastAsia="zh-CN" w:bidi="ar-SA"/>
        </w:rPr>
        <w:t>会</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及监理项目</w:t>
      </w:r>
      <w:r>
        <w:rPr>
          <w:rFonts w:hint="eastAsia" w:ascii="仿宋_GB2312" w:hAnsi="仿宋_GB2312" w:eastAsia="仿宋_GB2312" w:cs="仿宋_GB2312"/>
          <w:sz w:val="32"/>
          <w:szCs w:val="32"/>
          <w:lang w:val="en-US" w:eastAsia="zh-CN"/>
        </w:rPr>
        <w:t>，要求电子文件管理处</w:t>
      </w:r>
      <w:r>
        <w:rPr>
          <w:rFonts w:hint="eastAsia" w:ascii="仿宋_GB2312" w:hAnsi="仿宋_GB2312" w:eastAsia="仿宋_GB2312" w:cs="仿宋_GB2312"/>
          <w:sz w:val="32"/>
          <w:szCs w:val="32"/>
          <w:lang w:eastAsia="zh-CN"/>
        </w:rPr>
        <w:t>根据《甘肃省财政厅关于2024年省级 部门预算及绩效目标的批复》（甘财预〔</w:t>
      </w:r>
      <w:r>
        <w:rPr>
          <w:rFonts w:hint="default" w:ascii="仿宋_GB2312" w:hAnsi="仿宋_GB2312" w:eastAsia="仿宋_GB2312" w:cs="仿宋_GB2312"/>
          <w:sz w:val="32"/>
          <w:szCs w:val="32"/>
          <w:lang w:eastAsia="zh-CN"/>
        </w:rPr>
        <w:t>2024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号），以单一来源方式采购</w:t>
      </w:r>
      <w:r>
        <w:rPr>
          <w:rFonts w:hint="default" w:ascii="仿宋_GB2312" w:hAnsi="仿宋_GB2312" w:eastAsia="仿宋_GB2312" w:cs="仿宋_GB2312"/>
          <w:sz w:val="32"/>
          <w:szCs w:val="32"/>
          <w:lang w:eastAsia="zh-CN"/>
        </w:rPr>
        <w:t>2024</w:t>
      </w:r>
      <w:r>
        <w:rPr>
          <w:rFonts w:hint="eastAsia" w:ascii="仿宋_GB2312" w:hAnsi="仿宋_GB2312" w:eastAsia="仿宋_GB2312" w:cs="仿宋_GB2312"/>
          <w:sz w:val="32"/>
          <w:szCs w:val="32"/>
          <w:lang w:eastAsia="zh-CN"/>
        </w:rPr>
        <w:t>年甘肃省档案馆馆藏数字化加工项目</w:t>
      </w:r>
      <w:r>
        <w:rPr>
          <w:rFonts w:hint="eastAsia" w:ascii="仿宋_GB2312" w:hAnsi="仿宋_GB2312" w:eastAsia="仿宋_GB2312" w:cs="仿宋_GB2312"/>
          <w:lang w:val="en-US" w:eastAsia="zh-CN"/>
        </w:rPr>
        <w:t>；⑵</w:t>
      </w:r>
      <w:r>
        <w:rPr>
          <w:rFonts w:hint="eastAsia" w:ascii="仿宋_GB2312" w:hAnsi="仿宋_GB2312" w:eastAsia="仿宋_GB2312" w:cs="仿宋_GB2312"/>
          <w:sz w:val="32"/>
          <w:szCs w:val="32"/>
        </w:rPr>
        <w:t>业务处室监督指导项目的实施工作，严格遵守国家有关管理规定和行业标准，并组织人员及时验收；</w:t>
      </w:r>
      <w:r>
        <w:rPr>
          <w:rFonts w:hint="eastAsia" w:ascii="仿宋_GB2312" w:hAnsi="仿宋_GB2312" w:eastAsia="仿宋_GB2312" w:cs="仿宋_GB2312"/>
          <w:lang w:val="en-US" w:eastAsia="zh-CN"/>
        </w:rPr>
        <w:t>⑶</w:t>
      </w:r>
      <w:r>
        <w:rPr>
          <w:rFonts w:hint="eastAsia" w:ascii="仿宋_GB2312" w:hAnsi="仿宋_GB2312" w:eastAsia="仿宋_GB2312" w:cs="仿宋_GB2312"/>
          <w:sz w:val="32"/>
          <w:szCs w:val="32"/>
        </w:rPr>
        <w:t>严格遵照省财政厅批复的资金限额及财务管理规定，保障资金专款专用，杜绝虚支挪用现象的发生</w:t>
      </w:r>
      <w:r>
        <w:rPr>
          <w:rFonts w:hint="eastAsia" w:ascii="仿宋_GB2312" w:hAnsi="仿宋_GB2312" w:eastAsia="仿宋_GB2312" w:cs="仿宋_GB2312"/>
          <w:sz w:val="32"/>
          <w:szCs w:val="32"/>
          <w:lang w:eastAsia="zh-CN"/>
        </w:rPr>
        <w:t>。</w:t>
      </w:r>
    </w:p>
    <w:p w14:paraId="57B8D721">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二、项目绩效目标</w:t>
      </w:r>
    </w:p>
    <w:p w14:paraId="63B8CF78">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楷体" w:hAnsi="楷体" w:eastAsia="楷体" w:cs="楷体"/>
        </w:rPr>
      </w:pPr>
      <w:r>
        <w:rPr>
          <w:rFonts w:hint="eastAsia" w:ascii="楷体" w:hAnsi="楷体" w:eastAsia="楷体" w:cs="楷体"/>
        </w:rPr>
        <w:t>（一）总体绩效目标</w:t>
      </w:r>
    </w:p>
    <w:p w14:paraId="406175DD">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档案资料数字化建设项目财政拨款项目资金</w:t>
      </w: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00.00万元</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全年执行数</w:t>
      </w:r>
      <w:r>
        <w:rPr>
          <w:rFonts w:hint="eastAsia" w:ascii="仿宋_GB2312" w:hAnsi="仿宋_GB2312" w:eastAsia="仿宋_GB2312" w:cs="仿宋_GB2312"/>
          <w:sz w:val="32"/>
          <w:szCs w:val="32"/>
          <w:lang w:val="en-US" w:eastAsia="zh-CN"/>
        </w:rPr>
        <w:t>98.52</w:t>
      </w:r>
      <w:r>
        <w:rPr>
          <w:rFonts w:hint="eastAsia" w:ascii="仿宋_GB2312" w:hAnsi="仿宋_GB2312" w:eastAsia="仿宋_GB2312" w:cs="仿宋_GB2312"/>
          <w:lang w:val="en-US" w:eastAsia="zh-CN"/>
        </w:rPr>
        <w:t>万元，执行率</w:t>
      </w:r>
      <w:r>
        <w:rPr>
          <w:rFonts w:hint="eastAsia" w:ascii="仿宋_GB2312" w:hAnsi="仿宋_GB2312" w:eastAsia="仿宋_GB2312" w:cs="仿宋_GB2312"/>
          <w:sz w:val="32"/>
          <w:szCs w:val="32"/>
          <w:lang w:val="en-US" w:eastAsia="zh-CN"/>
        </w:rPr>
        <w:t>98.52</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数字化加工成本</w:t>
      </w:r>
      <w:r>
        <w:rPr>
          <w:rFonts w:hint="default" w:ascii="仿宋_GB2312" w:hAnsi="仿宋_GB2312" w:eastAsia="仿宋_GB2312" w:cs="仿宋_GB2312"/>
          <w:sz w:val="32"/>
          <w:szCs w:val="32"/>
          <w:lang w:eastAsia="zh-CN"/>
        </w:rPr>
        <w:t>指标值</w:t>
      </w:r>
      <w:r>
        <w:rPr>
          <w:rFonts w:hint="eastAsia" w:ascii="仿宋_GB2312" w:hAnsi="仿宋_GB2312" w:eastAsia="仿宋_GB2312" w:cs="仿宋_GB2312"/>
          <w:sz w:val="32"/>
          <w:szCs w:val="32"/>
          <w:lang w:val="en-US" w:eastAsia="zh-CN"/>
        </w:rPr>
        <w:t>&gt;=0.60元/画幅或条</w:t>
      </w:r>
      <w:r>
        <w:rPr>
          <w:rFonts w:hint="default" w:ascii="仿宋_GB2312" w:hAnsi="仿宋_GB2312" w:eastAsia="仿宋_GB2312" w:cs="仿宋_GB2312"/>
          <w:sz w:val="32"/>
          <w:szCs w:val="32"/>
          <w:lang w:eastAsia="zh-CN"/>
        </w:rPr>
        <w:t>，实际完成值</w:t>
      </w:r>
      <w:r>
        <w:rPr>
          <w:rFonts w:hint="eastAsia" w:ascii="仿宋_GB2312" w:hAnsi="仿宋_GB2312" w:eastAsia="仿宋_GB2312" w:cs="仿宋_GB2312"/>
          <w:sz w:val="32"/>
          <w:szCs w:val="32"/>
          <w:lang w:val="en-US" w:eastAsia="zh-CN"/>
        </w:rPr>
        <w:t>0.64元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馆藏</w:t>
      </w:r>
      <w:r>
        <w:rPr>
          <w:rFonts w:hint="eastAsia" w:ascii="仿宋_GB2312" w:hAnsi="仿宋_GB2312" w:eastAsia="仿宋_GB2312" w:cs="仿宋_GB2312"/>
          <w:sz w:val="32"/>
          <w:szCs w:val="32"/>
        </w:rPr>
        <w:t>档案数字化</w:t>
      </w:r>
      <w:r>
        <w:rPr>
          <w:rFonts w:hint="eastAsia" w:ascii="仿宋_GB2312" w:hAnsi="仿宋_GB2312" w:eastAsia="仿宋_GB2312" w:cs="仿宋_GB2312"/>
          <w:sz w:val="32"/>
          <w:szCs w:val="32"/>
          <w:lang w:val="en-US" w:eastAsia="zh-CN"/>
        </w:rPr>
        <w:t>画幅扫描</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&gt;=143万画幅</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实际</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143.47万画幅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馆藏档案数字化目录著录指标值</w:t>
      </w:r>
      <w:r>
        <w:rPr>
          <w:rFonts w:hint="eastAsia" w:ascii="仿宋_GB2312" w:hAnsi="仿宋_GB2312" w:eastAsia="仿宋_GB2312" w:cs="仿宋_GB2312"/>
          <w:sz w:val="32"/>
          <w:szCs w:val="32"/>
          <w:lang w:val="en-US" w:eastAsia="zh-CN"/>
        </w:rPr>
        <w:t>&gt;=5万条，实际完成值4.93万条。</w:t>
      </w:r>
      <w:r>
        <w:rPr>
          <w:rFonts w:hint="default" w:ascii="仿宋_GB2312" w:hAnsi="仿宋_GB2312" w:eastAsia="仿宋_GB2312" w:cs="仿宋_GB2312"/>
          <w:lang w:val="en-US" w:eastAsia="zh-CN"/>
        </w:rPr>
        <w:t>该项目预算编报时无法准确预估具体数量，根据数字化扫描结果据实结算。</w:t>
      </w:r>
    </w:p>
    <w:p w14:paraId="25370349">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（二）202</w:t>
      </w:r>
      <w:r>
        <w:rPr>
          <w:rFonts w:hint="eastAsia" w:ascii="楷体" w:hAnsi="楷体" w:eastAsia="楷体" w:cs="楷体"/>
          <w:lang w:val="en-US" w:eastAsia="zh-CN"/>
        </w:rPr>
        <w:t>4</w:t>
      </w:r>
      <w:r>
        <w:rPr>
          <w:rFonts w:hint="eastAsia" w:ascii="楷体" w:hAnsi="楷体" w:eastAsia="楷体" w:cs="楷体"/>
        </w:rPr>
        <w:t>年度（或阶段性）绩效目标</w:t>
      </w:r>
    </w:p>
    <w:p w14:paraId="78CB78C6">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负责管理，按照项目进度支付报账。截止2024年12月31日，完成项目经费支付98.52万元，支付进度98.52%</w:t>
      </w:r>
      <w:r>
        <w:rPr>
          <w:rFonts w:hint="default" w:ascii="仿宋_GB2312" w:hAnsi="仿宋_GB2312" w:eastAsia="仿宋_GB2312" w:cs="仿宋_GB2312"/>
          <w:lang w:eastAsia="zh-CN"/>
        </w:rPr>
        <w:t>，</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96.98分</w:t>
      </w:r>
      <w:r>
        <w:rPr>
          <w:rFonts w:hint="default" w:ascii="仿宋_GB2312" w:hAnsi="仿宋_GB2312" w:eastAsia="仿宋_GB2312" w:cs="仿宋_GB2312"/>
          <w:sz w:val="32"/>
          <w:szCs w:val="32"/>
          <w:lang w:eastAsia="zh-CN"/>
        </w:rPr>
        <w:t>。</w:t>
      </w:r>
    </w:p>
    <w:p w14:paraId="2B470524">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三、评价基本情况</w:t>
      </w:r>
    </w:p>
    <w:p w14:paraId="2A4354C7">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（一）绩效评价目的、对象和范围</w:t>
      </w:r>
    </w:p>
    <w:p w14:paraId="4F0C386F">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1、绩效评价目的：为深入贯彻落实《中共甘肃省委 甘肃省人民政府关于全面实施预算绩效管理的实施意见》（甘发〔2018〕32号）、《财政部关于印发〈项目支出绩效评价管理办法〉的通知》（财预〔2020〕10号）、《甘肃省省级项目支出绩效部门评价和财政评价工作规程》（甘财绩〔2020〕5号）及《甘肃省财政厅关于印发省级预算部门预算绩效管理工作清单的通知》（甘财绩〔2025〕4</w:t>
      </w:r>
      <w:bookmarkStart w:id="0" w:name="_GoBack"/>
      <w:bookmarkEnd w:id="0"/>
      <w:r>
        <w:rPr>
          <w:rFonts w:hint="eastAsia" w:ascii="仿宋_GB2312" w:hAnsi="仿宋_GB2312" w:eastAsia="仿宋_GB2312" w:cs="仿宋_GB2312"/>
          <w:lang w:val="en-US" w:eastAsia="zh-CN"/>
        </w:rPr>
        <w:t>号）等有关规定，建立健全部门和重点绩效评价常态机制，进一步提升部门及资金使用单位绩效管理水平，提高资金使用效率。</w:t>
      </w:r>
    </w:p>
    <w:p w14:paraId="6E2993B4">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2、绩效评价对象：2024年度档案资料数字化建设项目</w:t>
      </w:r>
    </w:p>
    <w:p w14:paraId="26369273">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3、绩效评价范围：</w:t>
      </w:r>
      <w:r>
        <w:rPr>
          <w:rFonts w:hint="default" w:ascii="仿宋_GB2312" w:hAnsi="仿宋_GB2312" w:eastAsia="仿宋_GB2312" w:cs="仿宋_GB2312"/>
          <w:lang w:val="en-US" w:eastAsia="zh-CN"/>
        </w:rPr>
        <w:t>202</w:t>
      </w:r>
      <w:r>
        <w:rPr>
          <w:rFonts w:hint="eastAsia" w:ascii="仿宋_GB2312" w:hAnsi="仿宋_GB2312" w:eastAsia="仿宋_GB2312" w:cs="仿宋_GB2312"/>
          <w:lang w:val="en-US" w:eastAsia="zh-CN"/>
        </w:rPr>
        <w:t>4</w:t>
      </w:r>
      <w:r>
        <w:rPr>
          <w:rFonts w:hint="default" w:ascii="仿宋_GB2312" w:hAnsi="仿宋_GB2312" w:eastAsia="仿宋_GB2312" w:cs="仿宋_GB2312"/>
          <w:lang w:val="en-US" w:eastAsia="zh-CN"/>
        </w:rPr>
        <w:t>年度馆藏档案数字化</w:t>
      </w:r>
      <w:r>
        <w:rPr>
          <w:rFonts w:hint="eastAsia" w:ascii="仿宋_GB2312" w:hAnsi="仿宋_GB2312" w:eastAsia="仿宋_GB2312" w:cs="仿宋_GB2312"/>
          <w:lang w:val="en-US" w:eastAsia="zh-CN"/>
        </w:rPr>
        <w:t>项目</w:t>
      </w:r>
    </w:p>
    <w:p w14:paraId="7E1B5EF1">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（二）绩效评价原则、评价指标体系（简要说明）、评价方法、评价标准等</w:t>
      </w:r>
    </w:p>
    <w:p w14:paraId="6C1000F5">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绩效评价原则</w:t>
      </w:r>
    </w:p>
    <w:p w14:paraId="6EDB6EFC">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（1）科学规范原则。严格执行规定的流程步骤，做到指标合理、标准科学、方法适当、结果可信的要求。</w:t>
      </w:r>
    </w:p>
    <w:p w14:paraId="6A70D205">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（2）绩效相关原则。评价结果应当清晰反映绩效目标的实现情况以及预算支出和绩效之间的对应关系。</w:t>
      </w:r>
    </w:p>
    <w:p w14:paraId="2E3838E9">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（3）公开透明原则。评价结果应当符合真实、客观、公正的要求,依法依规公开并接受监督。</w:t>
      </w:r>
    </w:p>
    <w:p w14:paraId="3BB29B87">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（4）激励约束原则。评价结果与项目的设立、保留、整合、调整和退出相挂钩,作为完善政策、改进管理、安排预算的重要依据。</w:t>
      </w:r>
    </w:p>
    <w:p w14:paraId="12C03D12">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评价指标体系</w:t>
      </w:r>
    </w:p>
    <w:p w14:paraId="148CB3ED">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（1）产出指标</w:t>
      </w:r>
    </w:p>
    <w:p w14:paraId="678B882C">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馆藏数字化项目无法精确具体数量，通过产出数量、质量及时效性，综合、客观地评价年度档案数字转化数量项目完成情况。</w:t>
      </w:r>
    </w:p>
    <w:p w14:paraId="1CAB6DB7">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档案数字化主要实现社会效益为主，通过社会效益指标、可持续影响指标综合体现项目效益。此项工作本身不直接产生经济效益。</w:t>
      </w:r>
    </w:p>
    <w:p w14:paraId="7D1ECF29">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（2）满意度指标</w:t>
      </w:r>
    </w:p>
    <w:p w14:paraId="2834E9D8">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档案数字化为党政机关和人民群众提供查档便利，社会查阅人员满意度是对数字化工作最直接有效地评价。</w:t>
      </w:r>
    </w:p>
    <w:p w14:paraId="18DBF18E">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评价方法</w:t>
      </w:r>
    </w:p>
    <w:p w14:paraId="11B1E0DE">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评价的具体实施根据评价指标及评价工作要求，对具体评价内容和不同环节，对财政专项资金支出的绩效评价采用以下评价方法：</w:t>
      </w:r>
    </w:p>
    <w:p w14:paraId="01679CEB">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①成本效益分析法。是指将投入与产出、效益进行关联性分析的方法。 </w:t>
      </w:r>
    </w:p>
    <w:p w14:paraId="0CFA0E5F">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②比较法。是指将实施情况与绩效目标、历史情况、不同部门和地区同类支出情况进行比较的方法。</w:t>
      </w:r>
    </w:p>
    <w:p w14:paraId="198CFDD5">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③因素分析法。是指综合分析影响绩效目标实现、实施效果的内外部因素的方法</w:t>
      </w:r>
      <w:r>
        <w:rPr>
          <w:rFonts w:hint="default" w:ascii="仿宋_GB2312" w:hAnsi="仿宋_GB2312" w:eastAsia="仿宋_GB2312" w:cs="仿宋_GB2312"/>
          <w:lang w:eastAsia="zh-CN"/>
        </w:rPr>
        <w:t>，严格按照合同进度实施，2023年档案资料数字化建设项目支付进度100%。</w:t>
      </w:r>
    </w:p>
    <w:p w14:paraId="44A1332D">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④最低成本法。是指在绩效目标确定的前提下，成本最小者为优的方法。</w:t>
      </w:r>
    </w:p>
    <w:p w14:paraId="19205CCF">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⑤公众评判法。是指通过专家评估、公众问卷及抽样调查等方式进行评判的方法。</w:t>
      </w:r>
    </w:p>
    <w:p w14:paraId="4236465F">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⑥标杆管理法。是指以国内外同行业中较高的绩效水平为标杆进行评判的方法。</w:t>
      </w:r>
    </w:p>
    <w:p w14:paraId="5546E83D">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⑦其他评价方法。</w:t>
      </w:r>
    </w:p>
    <w:p w14:paraId="2AEE3874">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3</w:t>
      </w:r>
      <w:r>
        <w:rPr>
          <w:rFonts w:hint="eastAsia" w:ascii="仿宋_GB2312" w:hAnsi="仿宋_GB2312" w:eastAsia="仿宋_GB2312" w:cs="仿宋_GB2312"/>
          <w:lang w:val="en-US" w:eastAsia="zh-CN"/>
        </w:rPr>
        <w:t>、评价标准</w:t>
      </w:r>
    </w:p>
    <w:p w14:paraId="56459123">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绩效评价标准是指衡量财政支出绩效目标完成程度的尺度。对于评价指标而言，需要通过评价标准来回答评价指标的状况和优劣程度。</w:t>
      </w:r>
    </w:p>
    <w:p w14:paraId="56F56732">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（1）评价标准确定原则</w:t>
      </w:r>
    </w:p>
    <w:p w14:paraId="634136F0">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①体现绩效评价的思想</w:t>
      </w:r>
    </w:p>
    <w:p w14:paraId="674DAF58">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评价的标准是为了认定各指标达成目标的程度，因此，标准就是绩效的反应。标准制定本身就是绩效衡量的尺度。</w:t>
      </w:r>
    </w:p>
    <w:p w14:paraId="13A7F11E">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②政策导向</w:t>
      </w:r>
    </w:p>
    <w:p w14:paraId="7C5C4D56">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绩效评价是建立在数据基础上的客观评价。</w:t>
      </w:r>
    </w:p>
    <w:p w14:paraId="7E22F44B">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③体现</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"http://www.guayunfan.com/lilun/366423.html" \t "http://www.guayunfan.com/lilun/_blank"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公共财政</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特点</w:t>
      </w:r>
    </w:p>
    <w:p w14:paraId="04552DAC">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评价标准体现的是一定财政投入下的公共服务的数量和品质，而公共财政的公平性集中体现在</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"http://www.guayunfan.com/baike/331700.html" \t "http://www.guayunfan.com/lilun/_blank"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基本公共服务均等化</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，这是评价标准制定的重要依据。标准的制定和使用要有利于引导公共财政的趋向公平。</w:t>
      </w:r>
    </w:p>
    <w:p w14:paraId="280D4D94">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2</w:t>
      </w:r>
      <w:r>
        <w:rPr>
          <w:rFonts w:hint="default" w:ascii="Times New Roman" w:hAnsi="Times New Roman" w:eastAsia="仿宋_GB2312" w:cs="Times New Roman"/>
          <w:lang w:val="en-US" w:eastAsia="zh-CN"/>
        </w:rPr>
        <w:t>）评价标准具体参照</w:t>
      </w:r>
      <w:r>
        <w:rPr>
          <w:rFonts w:hint="default" w:ascii="Times New Roman" w:hAnsi="Times New Roman" w:eastAsia="仿宋_GB2312" w:cs="Times New Roman"/>
          <w:lang w:eastAsia="zh-CN"/>
        </w:rPr>
        <w:t>项目管理制度</w:t>
      </w:r>
    </w:p>
    <w:p w14:paraId="26908D86">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default" w:ascii="仿宋_GB2312" w:hAnsi="仿宋_GB2312" w:eastAsia="仿宋_GB2312" w:cs="仿宋_GB2312"/>
          <w:lang w:eastAsia="zh-CN"/>
        </w:rPr>
      </w:pPr>
      <w:r>
        <w:rPr>
          <w:rFonts w:hint="eastAsia" w:ascii="仿宋_GB2312" w:hAnsi="仿宋_GB2312" w:eastAsia="仿宋_GB2312" w:cs="仿宋_GB2312"/>
          <w:lang w:eastAsia="zh-CN"/>
        </w:rPr>
        <w:t>⑴甘肃省档案数字化管理办法；⑵《政府采购法》；⑶《甘肃省政府采购目录和限额标准》;⑷《纸质档案数字化技术规范》（DA/T 31-2005）</w:t>
      </w:r>
      <w:r>
        <w:rPr>
          <w:rFonts w:hint="default" w:ascii="仿宋_GB2312" w:hAnsi="仿宋_GB2312" w:eastAsia="仿宋_GB2312" w:cs="仿宋_GB2312"/>
          <w:lang w:eastAsia="zh-CN"/>
        </w:rPr>
        <w:t>。</w:t>
      </w:r>
    </w:p>
    <w:p w14:paraId="57F0183A">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⑸《档案著录规则》(DA/T18)；⑹《甘肃省档案馆</w:t>
      </w:r>
      <w:r>
        <w:rPr>
          <w:rFonts w:hint="default" w:ascii="仿宋_GB2312" w:hAnsi="仿宋_GB2312" w:eastAsia="仿宋_GB2312" w:cs="仿宋_GB2312"/>
          <w:lang w:eastAsia="zh-CN"/>
        </w:rPr>
        <w:t>内部控制制度</w:t>
      </w:r>
      <w:r>
        <w:rPr>
          <w:rFonts w:hint="eastAsia" w:ascii="仿宋_GB2312" w:hAnsi="仿宋_GB2312" w:eastAsia="仿宋_GB2312" w:cs="仿宋_GB2312"/>
          <w:lang w:eastAsia="zh-CN"/>
        </w:rPr>
        <w:t>》。</w:t>
      </w:r>
    </w:p>
    <w:p w14:paraId="07BE2154">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1、资金拨付流程</w:t>
      </w:r>
    </w:p>
    <w:p w14:paraId="2DE95D51">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项目资金由财政年初预算安排，办公室（财务）管理，电子文件管理处负责项目监督指导项目的实施工作。</w:t>
      </w:r>
    </w:p>
    <w:p w14:paraId="386E514B">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2、做好验收支付</w:t>
      </w:r>
    </w:p>
    <w:p w14:paraId="50B201CF">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严格遵守国家有关管理规定和行业标准，组织人员及时验收；严格遵照省财政厅批复的资金限额及财务管理规定，保障资金专款专用，杜绝虚支挪用现象的发生。</w:t>
      </w:r>
    </w:p>
    <w:p w14:paraId="72DD711C">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①计划标准</w:t>
      </w:r>
    </w:p>
    <w:p w14:paraId="6FC42728">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计划标准是指以预先制定的目标、计划、预算、定额等数据作为评价的标准。此标准是项目申请时就设立的，因此，标准明确了，可以用业绩值直接与此相比较来进行评价。</w:t>
      </w:r>
    </w:p>
    <w:p w14:paraId="1CBE060C">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②行业标准</w:t>
      </w:r>
      <w:r>
        <w:rPr>
          <w:rFonts w:hint="eastAsia" w:ascii="仿宋_GB2312" w:hAnsi="仿宋_GB2312" w:eastAsia="仿宋_GB2312" w:cs="仿宋_GB2312"/>
          <w:lang w:eastAsia="zh-CN"/>
        </w:rPr>
        <w:t>项目管理制度</w:t>
      </w:r>
    </w:p>
    <w:p w14:paraId="598FF368">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⑴甘肃省档案数字化管理办法；⑵《政府采购法》；⑶《甘肃省政府采购目录和限额标准》;⑷《纸质档案数字化技术规范》（DA/T 31-2005）；⑸《档案著录规则》(DA/T18)；⑹《甘肃省档案馆</w:t>
      </w:r>
      <w:r>
        <w:rPr>
          <w:rFonts w:hint="default" w:ascii="仿宋_GB2312" w:hAnsi="仿宋_GB2312" w:eastAsia="仿宋_GB2312" w:cs="仿宋_GB2312"/>
          <w:lang w:eastAsia="zh-CN"/>
        </w:rPr>
        <w:t>内部控制制度</w:t>
      </w:r>
      <w:r>
        <w:rPr>
          <w:rFonts w:hint="eastAsia" w:ascii="仿宋_GB2312" w:hAnsi="仿宋_GB2312" w:eastAsia="仿宋_GB2312" w:cs="仿宋_GB2312"/>
          <w:lang w:eastAsia="zh-CN"/>
        </w:rPr>
        <w:t>》。</w:t>
      </w:r>
    </w:p>
    <w:p w14:paraId="32CCD0AC">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行业标准是指参照国家公布的行业指标数据制定的评价标准。国家在不同时期根据行业发展的特征会制定不同行业的发展状况和指数等数据，这些都可以作为行业评价的重要标准来源。      </w:t>
      </w:r>
    </w:p>
    <w:p w14:paraId="6AC1630A">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③历史标准</w:t>
      </w:r>
    </w:p>
    <w:p w14:paraId="78913935">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历史是指参照同类指标的历史数据制定的评价标准。对项目进行评价时，可以考虑以历史的数据作为参照来制定评价标准。</w:t>
      </w:r>
    </w:p>
    <w:p w14:paraId="5869B7E1">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④经验标准</w:t>
      </w:r>
    </w:p>
    <w:p w14:paraId="548E8621">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根据评价需要，可以有关经验性标准作为评价的依据，或者利用现有数据，采取一定的数学方法或模型建立标准。</w:t>
      </w:r>
    </w:p>
    <w:p w14:paraId="51A876BC">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（三）</w:t>
      </w:r>
      <w:r>
        <w:rPr>
          <w:rFonts w:hint="eastAsia" w:ascii="楷体" w:hAnsi="楷体" w:eastAsia="楷体" w:cs="楷体"/>
        </w:rPr>
        <w:t>绩效评价工作过程</w:t>
      </w:r>
    </w:p>
    <w:p w14:paraId="0C11F4E8">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前期准备阶段</w:t>
      </w:r>
    </w:p>
    <w:p w14:paraId="1FE461CA">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成立项目评价工作小组，制定项目工作计划；（2）组织项目评价工作协调会，由办公室（财务）、电子文件管理处配合做好该项目绩效评价工作。</w:t>
      </w:r>
    </w:p>
    <w:p w14:paraId="5F055BC2">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2、收集资料阶段</w:t>
      </w:r>
    </w:p>
    <w:p w14:paraId="77CC909E">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（1）根据预算绩效目标管理系统20</w:t>
      </w:r>
      <w:r>
        <w:rPr>
          <w:rFonts w:hint="eastAsia" w:ascii="仿宋_GB2312" w:hAnsi="仿宋_GB2312" w:eastAsia="仿宋_GB2312" w:cs="仿宋_GB2312"/>
          <w:lang w:eastAsia="zh-CN"/>
        </w:rPr>
        <w:t>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年初绩效目标申报详情，参照设定指标体系，收集项目资料；（2）走访调研项目责任部门、施工方，准确把握项目执行情况。（3）汇总整理好项目评价资料,提出绩效评价方案。</w:t>
      </w:r>
    </w:p>
    <w:p w14:paraId="781EC53F">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3、评价执行阶段</w:t>
      </w:r>
    </w:p>
    <w:p w14:paraId="7D50CAEA">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480" w:firstLineChars="15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（1）按照绩效评价方案细化评价工作，根据需要组织问卷调查等工作；（2）开展资金使用情况调查工作。</w:t>
      </w:r>
    </w:p>
    <w:p w14:paraId="4D8DAD5F">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4、评价报告撰写</w:t>
      </w:r>
    </w:p>
    <w:p w14:paraId="61F074A2">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25"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根据前期绩效自评报告、调研与问卷信息、指标体系依托数据，项目评价小组撰写项目评价报告。</w:t>
      </w:r>
    </w:p>
    <w:p w14:paraId="3438CDD6">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四、评价结论和绩效分析</w:t>
      </w:r>
    </w:p>
    <w:p w14:paraId="4FF714D1">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eastAsia" w:ascii="楷体" w:hAnsi="楷体" w:eastAsia="楷体" w:cs="楷体"/>
        </w:rPr>
        <w:t>（一）综合评价结论</w:t>
      </w:r>
    </w:p>
    <w:p w14:paraId="095865A1">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2024年档案资料数字化建设项目截止2024年12月31日支付进度</w:t>
      </w:r>
      <w:r>
        <w:rPr>
          <w:rFonts w:hint="eastAsia" w:ascii="仿宋_GB2312" w:hAnsi="仿宋_GB2312" w:eastAsia="仿宋_GB2312" w:cs="仿宋_GB2312"/>
          <w:sz w:val="32"/>
          <w:szCs w:val="32"/>
          <w:lang w:val="en-US" w:eastAsia="zh-CN"/>
        </w:rPr>
        <w:t>98.52</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w:t>
      </w:r>
      <w:r>
        <w:rPr>
          <w:rFonts w:hint="eastAsia" w:ascii="仿宋_GB2312" w:hAnsi="仿宋_GB2312" w:eastAsia="仿宋_GB2312" w:cs="仿宋_GB2312"/>
          <w:lang w:eastAsia="zh-CN"/>
        </w:rPr>
        <w:t>较好完成了202</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年度档案资料数字化任务</w:t>
      </w:r>
      <w:r>
        <w:rPr>
          <w:rFonts w:hint="default" w:ascii="仿宋_GB2312" w:hAnsi="仿宋_GB2312" w:eastAsia="仿宋_GB2312" w:cs="仿宋_GB2312"/>
          <w:lang w:eastAsia="zh-CN"/>
        </w:rPr>
        <w:t>，</w:t>
      </w:r>
      <w:r>
        <w:rPr>
          <w:rFonts w:hint="eastAsia" w:ascii="仿宋_GB2312" w:hAnsi="仿宋_GB2312" w:eastAsia="仿宋_GB2312" w:cs="仿宋_GB2312"/>
          <w:lang w:eastAsia="zh-CN"/>
        </w:rPr>
        <w:t>该项目自评结果“优秀”，</w:t>
      </w:r>
      <w:r>
        <w:rPr>
          <w:rFonts w:hint="default" w:ascii="仿宋_GB2312" w:hAnsi="仿宋_GB2312" w:eastAsia="仿宋_GB2312" w:cs="仿宋_GB2312"/>
          <w:lang w:eastAsia="zh-CN"/>
        </w:rPr>
        <w:t>自</w:t>
      </w:r>
      <w:r>
        <w:rPr>
          <w:rFonts w:hint="eastAsia" w:ascii="仿宋_GB2312" w:hAnsi="仿宋_GB2312" w:eastAsia="仿宋_GB2312" w:cs="仿宋_GB2312"/>
          <w:lang w:eastAsia="zh-CN"/>
        </w:rPr>
        <w:t>评</w:t>
      </w:r>
      <w:r>
        <w:rPr>
          <w:rFonts w:hint="default" w:ascii="仿宋_GB2312" w:hAnsi="仿宋_GB2312" w:eastAsia="仿宋_GB2312" w:cs="仿宋_GB2312"/>
          <w:lang w:eastAsia="zh-CN"/>
        </w:rPr>
        <w:t>得</w:t>
      </w:r>
      <w:r>
        <w:rPr>
          <w:rFonts w:hint="eastAsia" w:ascii="仿宋_GB2312" w:hAnsi="仿宋_GB2312" w:eastAsia="仿宋_GB2312" w:cs="仿宋_GB2312"/>
          <w:lang w:eastAsia="zh-CN"/>
        </w:rPr>
        <w:t>分</w:t>
      </w:r>
      <w:r>
        <w:rPr>
          <w:rFonts w:hint="eastAsia" w:ascii="仿宋_GB2312" w:hAnsi="仿宋_GB2312" w:eastAsia="仿宋_GB2312" w:cs="仿宋_GB2312"/>
          <w:sz w:val="32"/>
          <w:szCs w:val="32"/>
          <w:lang w:val="en-US" w:eastAsia="zh-CN"/>
        </w:rPr>
        <w:t>96.98</w:t>
      </w:r>
      <w:r>
        <w:rPr>
          <w:rFonts w:hint="eastAsia" w:ascii="仿宋_GB2312" w:hAnsi="仿宋_GB2312" w:eastAsia="仿宋_GB2312" w:cs="仿宋_GB2312"/>
          <w:lang w:eastAsia="zh-CN"/>
        </w:rPr>
        <w:t>分</w:t>
      </w:r>
      <w:r>
        <w:rPr>
          <w:rFonts w:hint="eastAsia" w:ascii="仿宋_GB2312" w:hAnsi="仿宋_GB2312" w:eastAsia="仿宋_GB2312" w:cs="仿宋_GB2312"/>
          <w:lang w:val="en-US" w:eastAsia="zh-CN"/>
        </w:rPr>
        <w:t>。</w:t>
      </w:r>
    </w:p>
    <w:p w14:paraId="3FD6679B">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楷体" w:hAnsi="楷体" w:eastAsia="楷体" w:cs="楷体"/>
        </w:rPr>
      </w:pPr>
      <w:r>
        <w:rPr>
          <w:rFonts w:hint="default" w:ascii="楷体" w:hAnsi="楷体" w:eastAsia="楷体" w:cs="楷体"/>
        </w:rPr>
        <w:t>（二）</w:t>
      </w:r>
      <w:r>
        <w:rPr>
          <w:rFonts w:hint="eastAsia" w:ascii="楷体" w:hAnsi="楷体" w:eastAsia="楷体" w:cs="楷体"/>
        </w:rPr>
        <w:t>绩效分析</w:t>
      </w:r>
    </w:p>
    <w:p w14:paraId="75C17145">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50" w:leftChars="0" w:right="125" w:rightChars="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截止</w:t>
      </w:r>
      <w:r>
        <w:rPr>
          <w:rFonts w:hint="eastAsia" w:ascii="仿宋_GB2312" w:hAnsi="仿宋_GB2312" w:eastAsia="仿宋_GB2312" w:cs="仿宋_GB2312"/>
          <w:lang w:val="en-US" w:eastAsia="zh-CN"/>
        </w:rPr>
        <w:t>2024年12月31日，该项目产出指标完成99.47%。</w:t>
      </w:r>
    </w:p>
    <w:p w14:paraId="5C2CE915">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五、存在问题及原因分析</w:t>
      </w:r>
    </w:p>
    <w:p w14:paraId="4D6C910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lang w:eastAsia="zh-CN"/>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馆藏档案数字化画幅扫描</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馆藏</w:t>
      </w:r>
      <w:r>
        <w:rPr>
          <w:rFonts w:hint="default" w:ascii="仿宋_GB2312" w:hAnsi="仿宋_GB2312" w:eastAsia="仿宋_GB2312" w:cs="仿宋_GB2312"/>
          <w:sz w:val="32"/>
          <w:szCs w:val="32"/>
          <w:lang w:eastAsia="zh-CN"/>
        </w:rPr>
        <w:t>档案</w:t>
      </w:r>
      <w:r>
        <w:rPr>
          <w:rFonts w:hint="eastAsia" w:ascii="仿宋_GB2312" w:hAnsi="仿宋_GB2312" w:eastAsia="仿宋_GB2312" w:cs="仿宋_GB2312"/>
          <w:sz w:val="32"/>
          <w:szCs w:val="32"/>
          <w:lang w:eastAsia="zh-CN"/>
        </w:rPr>
        <w:t>数字化目录著录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偏离绩效目标</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原因是</w:t>
      </w:r>
      <w:r>
        <w:rPr>
          <w:rFonts w:hint="default" w:ascii="仿宋_GB2312" w:hAnsi="仿宋_GB2312" w:eastAsia="仿宋_GB2312" w:cs="仿宋_GB2312"/>
          <w:sz w:val="32"/>
          <w:szCs w:val="32"/>
          <w:lang w:eastAsia="zh-CN"/>
        </w:rPr>
        <w:t>数字化</w:t>
      </w:r>
      <w:r>
        <w:rPr>
          <w:rFonts w:hint="eastAsia" w:ascii="仿宋_GB2312" w:hAnsi="仿宋_GB2312" w:eastAsia="仿宋_GB2312" w:cs="仿宋_GB2312"/>
          <w:sz w:val="32"/>
          <w:szCs w:val="32"/>
          <w:lang w:eastAsia="zh-CN"/>
        </w:rPr>
        <w:t>项目</w:t>
      </w:r>
      <w:r>
        <w:rPr>
          <w:rFonts w:hint="default" w:ascii="仿宋_GB2312" w:hAnsi="仿宋_GB2312" w:eastAsia="仿宋_GB2312" w:cs="仿宋_GB2312"/>
          <w:sz w:val="32"/>
          <w:szCs w:val="32"/>
          <w:lang w:eastAsia="zh-CN"/>
        </w:rPr>
        <w:t>只能预估扫描画幅数量及目录著录条数，不能精确预算，目录著录根据数字化扫描画幅录入，项目结算方式是以具体完成工作量据实结算。</w:t>
      </w:r>
    </w:p>
    <w:p w14:paraId="75731549">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default" w:ascii="仿宋_GB2312" w:hAnsi="仿宋_GB2312" w:eastAsia="仿宋_GB2312" w:cs="仿宋_GB2312"/>
          <w:lang w:eastAsia="zh-CN"/>
        </w:rPr>
        <w:t>下一步，省档案将以习近平新时代中国特色社会主义思想为指导，全面贯彻落实党的二十大和省十四次党代会精神，强化绩效理念引领，深入践行《甘肃省省级预算绩效管理结果应用办法》精神，进一步提高财政资金使用效率。</w:t>
      </w:r>
    </w:p>
    <w:p w14:paraId="5DBCE9A5">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六、有关建议</w:t>
      </w:r>
    </w:p>
    <w:p w14:paraId="614C111B">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default" w:ascii="Times New Roman" w:hAnsi="Times New Roman" w:eastAsia="仿宋_GB2312" w:cs="Times New Roman"/>
          <w:lang w:eastAsia="zh-CN"/>
        </w:rPr>
        <w:sectPr>
          <w:footerReference r:id="rId4" w:type="default"/>
          <w:pgSz w:w="11910" w:h="16840"/>
          <w:pgMar w:top="1600" w:right="1360" w:bottom="1320" w:left="1360" w:header="0" w:footer="1134" w:gutter="0"/>
          <w:pgNumType w:fmt="decimal" w:start="1"/>
          <w:cols w:space="720" w:num="1"/>
        </w:sectPr>
      </w:pPr>
      <w:r>
        <w:rPr>
          <w:rFonts w:hint="eastAsia" w:ascii="Times New Roman" w:hAnsi="Times New Roman" w:eastAsia="仿宋_GB2312" w:cs="Times New Roman"/>
          <w:lang w:eastAsia="zh-CN"/>
        </w:rPr>
        <w:t>无</w:t>
      </w:r>
    </w:p>
    <w:p w14:paraId="011C6A59">
      <w:pPr>
        <w:pStyle w:val="3"/>
        <w:spacing w:line="660" w:lineRule="exact"/>
        <w:rPr>
          <w:rFonts w:ascii="黑体"/>
        </w:rPr>
      </w:pPr>
    </w:p>
    <w:p w14:paraId="35E8138D">
      <w:pPr>
        <w:spacing w:line="660" w:lineRule="exact"/>
        <w:ind w:left="5" w:right="4"/>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报告正文</w:t>
      </w:r>
    </w:p>
    <w:p w14:paraId="02B9DC91">
      <w:pPr>
        <w:pStyle w:val="3"/>
        <w:spacing w:line="660" w:lineRule="exact"/>
      </w:pPr>
    </w:p>
    <w:p w14:paraId="3B33E34F">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一、项目基本情况</w:t>
      </w:r>
    </w:p>
    <w:p w14:paraId="5FEB25B0">
      <w:pPr>
        <w:pStyle w:val="3"/>
        <w:spacing w:line="660" w:lineRule="exact"/>
        <w:ind w:left="111" w:right="125" w:firstLine="639"/>
        <w:rPr>
          <w:rFonts w:hint="eastAsia" w:ascii="Times New Roman" w:hAnsi="Times New Roman" w:eastAsia="仿宋_GB2312" w:cs="Times New Roman"/>
        </w:rPr>
      </w:pPr>
      <w:r>
        <w:rPr>
          <w:rFonts w:hint="eastAsia" w:ascii="楷体" w:hAnsi="楷体" w:eastAsia="楷体" w:cs="楷体"/>
        </w:rPr>
        <w:t>（一）项目立项背景。</w:t>
      </w:r>
      <w:r>
        <w:rPr>
          <w:rFonts w:hint="eastAsia" w:ascii="Times New Roman" w:hAnsi="Times New Roman" w:eastAsia="仿宋_GB2312" w:cs="Times New Roman"/>
        </w:rPr>
        <w:t>包括项目立项的环境和条件，实施项目达到的目标和意义，项目立项依据。</w:t>
      </w:r>
    </w:p>
    <w:p w14:paraId="46261196">
      <w:pPr>
        <w:pStyle w:val="3"/>
        <w:spacing w:line="660" w:lineRule="exact"/>
        <w:ind w:left="111" w:right="125" w:firstLine="639"/>
        <w:rPr>
          <w:rFonts w:hint="eastAsia" w:ascii="仿宋_GB2312" w:hAnsi="仿宋_GB2312" w:eastAsia="仿宋_GB2312" w:cs="仿宋_GB2312"/>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本部门纳入绩效评价重点项目的是档案资料数字化建设项目，资金总额</w:t>
      </w:r>
      <w:r>
        <w:rPr>
          <w:rFonts w:hint="default" w:ascii="仿宋_GB2312" w:hAnsi="仿宋_GB2312" w:eastAsia="仿宋_GB2312" w:cs="仿宋_GB2312"/>
        </w:rPr>
        <w:t>110.06</w:t>
      </w:r>
      <w:r>
        <w:rPr>
          <w:rFonts w:hint="eastAsia" w:ascii="仿宋_GB2312" w:hAnsi="仿宋_GB2312" w:eastAsia="仿宋_GB2312" w:cs="仿宋_GB2312"/>
        </w:rPr>
        <w:t>万元（含结转资金</w:t>
      </w:r>
      <w:r>
        <w:rPr>
          <w:rFonts w:hint="default" w:ascii="仿宋_GB2312" w:hAnsi="仿宋_GB2312" w:eastAsia="仿宋_GB2312" w:cs="仿宋_GB2312"/>
        </w:rPr>
        <w:t>10.06</w:t>
      </w:r>
      <w:r>
        <w:rPr>
          <w:rFonts w:hint="eastAsia" w:ascii="仿宋_GB2312" w:hAnsi="仿宋_GB2312" w:eastAsia="仿宋_GB2312" w:cs="仿宋_GB2312"/>
        </w:rPr>
        <w:t>万元）</w:t>
      </w:r>
      <w:r>
        <w:rPr>
          <w:rFonts w:hint="eastAsia" w:ascii="仿宋_GB2312" w:hAnsi="仿宋_GB2312" w:eastAsia="仿宋_GB2312" w:cs="仿宋_GB2312"/>
          <w:lang w:val="en-US" w:eastAsia="zh-CN"/>
        </w:rPr>
        <w:t>。</w:t>
      </w:r>
    </w:p>
    <w:p w14:paraId="38513766">
      <w:pPr>
        <w:pStyle w:val="3"/>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2、</w:t>
      </w:r>
      <w:r>
        <w:rPr>
          <w:rFonts w:hint="eastAsia" w:ascii="楷体" w:hAnsi="楷体" w:eastAsia="楷体" w:cs="楷体"/>
        </w:rPr>
        <w:t>项目预算安排及使用情况。</w:t>
      </w:r>
      <w:r>
        <w:rPr>
          <w:rFonts w:hint="eastAsia" w:ascii="仿宋_GB2312" w:hAnsi="仿宋_GB2312" w:eastAsia="仿宋_GB2312" w:cs="仿宋_GB2312"/>
          <w:lang w:val="en-US" w:eastAsia="zh-CN"/>
        </w:rPr>
        <w:t>包括项目预算分配的依据及因素、项目投资情况、预算变更情况及变更原因、资金来源等内容。</w:t>
      </w:r>
    </w:p>
    <w:p w14:paraId="78446D89">
      <w:pPr>
        <w:pStyle w:val="3"/>
        <w:spacing w:line="660" w:lineRule="exact"/>
        <w:ind w:left="111" w:right="125" w:firstLine="639"/>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项目预算分配的依据及因素</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⑴中共甘肃省委办公厅 甘肃省人民政府办公厅关于印发《甘肃省档案数字化管理办法（试行）》的通知；⑵《档案数字化外包安全管理规范》。</w:t>
      </w:r>
    </w:p>
    <w:p w14:paraId="0B9AA220">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4、</w:t>
      </w:r>
      <w:r>
        <w:rPr>
          <w:rFonts w:hint="eastAsia" w:ascii="仿宋_GB2312" w:hAnsi="仿宋_GB2312" w:eastAsia="仿宋_GB2312" w:cs="仿宋_GB2312"/>
          <w:lang w:val="en-US" w:eastAsia="zh-CN"/>
        </w:rPr>
        <w:t>项目投资情况</w:t>
      </w:r>
      <w:r>
        <w:rPr>
          <w:rFonts w:hint="default" w:ascii="仿宋_GB2312" w:hAnsi="仿宋_GB2312" w:eastAsia="仿宋_GB2312" w:cs="仿宋_GB2312"/>
          <w:lang w:eastAsia="zh-CN"/>
        </w:rPr>
        <w:t>：本级财力年初预算安排100万元，2022年度结转资金10.06万元，主要用于2023年度馆藏档案数字化任务。</w:t>
      </w:r>
    </w:p>
    <w:p w14:paraId="6625F011">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5、</w:t>
      </w:r>
      <w:r>
        <w:rPr>
          <w:rFonts w:hint="eastAsia" w:ascii="仿宋_GB2312" w:hAnsi="仿宋_GB2312" w:eastAsia="仿宋_GB2312" w:cs="仿宋_GB2312"/>
          <w:lang w:val="en-US" w:eastAsia="zh-CN"/>
        </w:rPr>
        <w:t>预算</w:t>
      </w:r>
      <w:r>
        <w:rPr>
          <w:rFonts w:hint="default" w:ascii="仿宋_GB2312" w:hAnsi="仿宋_GB2312" w:eastAsia="仿宋_GB2312" w:cs="仿宋_GB2312"/>
          <w:lang w:eastAsia="zh-CN"/>
        </w:rPr>
        <w:t>执行情况：预算执行进度100.00%，数字化扫描任务不能具体画幅和目录著录数量，根据馆藏卷宗扫描实际情况，完工时按具体扫描数量，每画幅成本价据实结算。</w:t>
      </w:r>
    </w:p>
    <w:p w14:paraId="74B1CDDB">
      <w:pPr>
        <w:pStyle w:val="3"/>
        <w:spacing w:line="660" w:lineRule="exact"/>
        <w:ind w:left="111" w:right="125" w:firstLine="639"/>
        <w:rPr>
          <w:rFonts w:hint="default" w:ascii="仿宋_GB2312" w:hAnsi="仿宋_GB2312" w:eastAsia="仿宋_GB2312" w:cs="仿宋_GB2312"/>
          <w:lang w:eastAsia="zh-CN"/>
        </w:rPr>
      </w:pPr>
      <w:r>
        <w:rPr>
          <w:rFonts w:hint="default" w:ascii="仿宋_GB2312" w:hAnsi="仿宋_GB2312" w:eastAsia="仿宋_GB2312" w:cs="仿宋_GB2312"/>
          <w:lang w:eastAsia="zh-CN"/>
        </w:rPr>
        <w:t>6、</w:t>
      </w:r>
      <w:r>
        <w:rPr>
          <w:rFonts w:hint="eastAsia" w:ascii="仿宋_GB2312" w:hAnsi="仿宋_GB2312" w:eastAsia="仿宋_GB2312" w:cs="仿宋_GB2312"/>
          <w:lang w:val="en-US" w:eastAsia="zh-CN"/>
        </w:rPr>
        <w:t>资金来源</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当年财政拨款1</w:t>
      </w:r>
      <w:r>
        <w:rPr>
          <w:rFonts w:hint="default" w:ascii="仿宋_GB2312" w:hAnsi="仿宋_GB2312" w:eastAsia="仿宋_GB2312" w:cs="仿宋_GB2312"/>
          <w:lang w:val="en-US" w:eastAsia="zh-CN"/>
        </w:rPr>
        <w:t>0</w:t>
      </w:r>
      <w:r>
        <w:rPr>
          <w:rFonts w:hint="eastAsia" w:ascii="仿宋_GB2312" w:hAnsi="仿宋_GB2312" w:eastAsia="仿宋_GB2312" w:cs="仿宋_GB2312"/>
          <w:lang w:val="en-US" w:eastAsia="zh-CN"/>
        </w:rPr>
        <w:t>0万元</w:t>
      </w:r>
      <w:r>
        <w:rPr>
          <w:rFonts w:hint="default" w:ascii="仿宋_GB2312" w:hAnsi="仿宋_GB2312" w:eastAsia="仿宋_GB2312" w:cs="仿宋_GB2312"/>
          <w:lang w:val="en-US" w:eastAsia="zh-CN"/>
        </w:rPr>
        <w:t>，202</w:t>
      </w:r>
      <w:r>
        <w:rPr>
          <w:rFonts w:hint="default" w:ascii="仿宋_GB2312" w:hAnsi="仿宋_GB2312" w:eastAsia="仿宋_GB2312" w:cs="仿宋_GB2312"/>
          <w:lang w:eastAsia="zh-CN"/>
        </w:rPr>
        <w:t>2</w:t>
      </w:r>
      <w:r>
        <w:rPr>
          <w:rFonts w:hint="default" w:ascii="仿宋_GB2312" w:hAnsi="仿宋_GB2312" w:eastAsia="仿宋_GB2312" w:cs="仿宋_GB2312"/>
          <w:lang w:val="en-US" w:eastAsia="zh-CN"/>
        </w:rPr>
        <w:t>年度结转资金</w:t>
      </w:r>
      <w:r>
        <w:rPr>
          <w:rFonts w:hint="default" w:ascii="仿宋_GB2312" w:hAnsi="仿宋_GB2312" w:eastAsia="仿宋_GB2312" w:cs="仿宋_GB2312"/>
          <w:lang w:eastAsia="zh-CN"/>
        </w:rPr>
        <w:t>10.06</w:t>
      </w:r>
      <w:r>
        <w:rPr>
          <w:rFonts w:hint="default" w:ascii="仿宋_GB2312" w:hAnsi="仿宋_GB2312" w:eastAsia="仿宋_GB2312" w:cs="仿宋_GB2312"/>
          <w:lang w:val="en-US" w:eastAsia="zh-CN"/>
        </w:rPr>
        <w:t>万元，合计1</w:t>
      </w:r>
      <w:r>
        <w:rPr>
          <w:rFonts w:hint="default" w:ascii="仿宋_GB2312" w:hAnsi="仿宋_GB2312" w:eastAsia="仿宋_GB2312" w:cs="仿宋_GB2312"/>
          <w:lang w:eastAsia="zh-CN"/>
        </w:rPr>
        <w:t>10.06</w:t>
      </w:r>
      <w:r>
        <w:rPr>
          <w:rFonts w:hint="default" w:ascii="仿宋_GB2312" w:hAnsi="仿宋_GB2312" w:eastAsia="仿宋_GB2312" w:cs="仿宋_GB2312"/>
          <w:lang w:val="en-US" w:eastAsia="zh-CN"/>
        </w:rPr>
        <w:t>万元。</w:t>
      </w:r>
      <w:r>
        <w:rPr>
          <w:rFonts w:hint="eastAsia" w:ascii="仿宋_GB2312" w:hAnsi="仿宋_GB2312" w:eastAsia="仿宋_GB2312" w:cs="仿宋_GB2312"/>
          <w:lang w:val="en-US" w:eastAsia="zh-CN"/>
        </w:rPr>
        <w:t>资金由馆办公室</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财务</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负责管理，按照项目进度支付。</w:t>
      </w:r>
    </w:p>
    <w:p w14:paraId="581D4C6B">
      <w:pPr>
        <w:pStyle w:val="3"/>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（二）</w:t>
      </w:r>
      <w:r>
        <w:rPr>
          <w:rFonts w:hint="eastAsia" w:ascii="楷体" w:hAnsi="楷体" w:eastAsia="楷体" w:cs="楷体"/>
        </w:rPr>
        <w:t>项目计划内容及实施情况。</w:t>
      </w:r>
      <w:r>
        <w:rPr>
          <w:rFonts w:hint="eastAsia" w:ascii="仿宋_GB2312" w:hAnsi="仿宋_GB2312" w:eastAsia="仿宋_GB2312" w:cs="仿宋_GB2312"/>
          <w:lang w:val="en-US" w:eastAsia="zh-CN"/>
        </w:rPr>
        <w:t>包括项目立项时间、</w:t>
      </w:r>
    </w:p>
    <w:p w14:paraId="28A4444A">
      <w:pPr>
        <w:pStyle w:val="3"/>
        <w:spacing w:line="660" w:lineRule="exact"/>
        <w:ind w:right="12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批复单位、项目具体内容、项目所在区域、项目计划完成时间等要素。</w:t>
      </w:r>
    </w:p>
    <w:p w14:paraId="3A6A3864">
      <w:pPr>
        <w:pStyle w:val="3"/>
        <w:numPr>
          <w:ilvl w:val="0"/>
          <w:numId w:val="1"/>
        </w:numPr>
        <w:spacing w:line="660" w:lineRule="exact"/>
        <w:ind w:left="111" w:right="125" w:firstLine="639"/>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项目计划内容</w:t>
      </w:r>
      <w:r>
        <w:rPr>
          <w:rFonts w:hint="default" w:ascii="仿宋_GB2312" w:hAnsi="仿宋_GB2312" w:eastAsia="仿宋_GB2312" w:cs="仿宋_GB2312"/>
          <w:lang w:eastAsia="zh-CN"/>
        </w:rPr>
        <w:t>及</w:t>
      </w:r>
      <w:r>
        <w:rPr>
          <w:rFonts w:hint="eastAsia" w:ascii="仿宋_GB2312" w:hAnsi="仿宋_GB2312" w:eastAsia="仿宋_GB2312" w:cs="仿宋_GB2312"/>
          <w:lang w:val="en-US" w:eastAsia="zh-CN"/>
        </w:rPr>
        <w:t>实施情况：⑴</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28</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第8次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及监理项目</w:t>
      </w:r>
      <w:r>
        <w:rPr>
          <w:rFonts w:hint="eastAsia" w:ascii="仿宋_GB2312" w:hAnsi="仿宋_GB2312" w:eastAsia="仿宋_GB2312" w:cs="仿宋_GB2312"/>
          <w:lang w:val="en-US" w:eastAsia="zh-CN"/>
        </w:rPr>
        <w:t>；⑵召开省保密领导小组会议对项目进行涉密情况审定，并邀请三家符合条件的公司（包括三家监理公司和三家档案数字化加工公司）采用竞争性磋商方式实施此项目；⑶与第三方签订档案数字化委托加工业务合同；⑷业务处室监督指导项目的实施工作，严格遵守国家有关管理规定和行业标准，并组织人员及时验收；⑸严格遵照省财政厅批复的资金限额及财务管理规定，保障资金专款专用，杜绝虚支挪用现象的发生</w:t>
      </w:r>
      <w:r>
        <w:rPr>
          <w:rFonts w:hint="default" w:ascii="仿宋_GB2312" w:hAnsi="仿宋_GB2312" w:eastAsia="仿宋_GB2312" w:cs="仿宋_GB2312"/>
          <w:lang w:eastAsia="zh-CN"/>
        </w:rPr>
        <w:t>主要原因是疫情影响。</w:t>
      </w:r>
    </w:p>
    <w:p w14:paraId="1FD9C34E">
      <w:pPr>
        <w:pStyle w:val="3"/>
        <w:numPr>
          <w:ilvl w:val="0"/>
          <w:numId w:val="1"/>
        </w:numPr>
        <w:spacing w:line="660" w:lineRule="exact"/>
        <w:ind w:left="111" w:right="125" w:firstLine="639"/>
        <w:rPr>
          <w:rFonts w:hint="eastAsia" w:ascii="仿宋_GB2312" w:hAnsi="仿宋_GB2312" w:eastAsia="仿宋_GB2312" w:cs="仿宋_GB2312"/>
          <w:lang w:val="en-US" w:eastAsia="zh-CN"/>
        </w:rPr>
      </w:pPr>
      <w:r>
        <w:rPr>
          <w:rFonts w:hint="default" w:ascii="楷体" w:hAnsi="楷体" w:eastAsia="楷体" w:cs="楷体"/>
        </w:rPr>
        <w:t>（三）</w:t>
      </w:r>
      <w:r>
        <w:rPr>
          <w:rFonts w:hint="eastAsia" w:ascii="楷体" w:hAnsi="楷体" w:eastAsia="楷体" w:cs="楷体"/>
        </w:rPr>
        <w:t>项目组织管理。</w:t>
      </w:r>
      <w:r>
        <w:rPr>
          <w:rFonts w:hint="eastAsia" w:ascii="Times New Roman" w:hAnsi="Times New Roman" w:eastAsia="仿宋_GB2312" w:cs="Times New Roman"/>
        </w:rPr>
        <w:t>说</w:t>
      </w:r>
      <w:r>
        <w:rPr>
          <w:rFonts w:hint="eastAsia" w:ascii="仿宋_GB2312" w:hAnsi="仿宋_GB2312" w:eastAsia="仿宋_GB2312" w:cs="仿宋_GB2312"/>
          <w:lang w:val="en-US" w:eastAsia="zh-CN"/>
        </w:rPr>
        <w:t>明项目主管部门和具体实施单位及各自职责、项目组织管理架构、项目具体实施流程、资金拨付流程等。</w:t>
      </w:r>
    </w:p>
    <w:p w14:paraId="3ECEE7A5">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项目管理制度</w:t>
      </w:r>
    </w:p>
    <w:p w14:paraId="7404B232">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⑴甘肃省档案数字化管理办法；⑵《政府采购法》；⑶《甘肃省政府采购目录和限额标准》;⑷《纸质档案数字化技术规范》（DA/T 31-2005）；⑸《档案著录规则》(DA/T18)；⑹《甘肃省档案馆内部控制制度》。</w:t>
      </w:r>
    </w:p>
    <w:p w14:paraId="74705834">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2、资金拨付流程</w:t>
      </w:r>
    </w:p>
    <w:p w14:paraId="7503A768">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项目资金由财政年初预算安排，办公室（财务）管理，电子文件管理处负责项目监督指导项目的实施工作。</w:t>
      </w:r>
    </w:p>
    <w:p w14:paraId="664664A0">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3、做好验收支付</w:t>
      </w:r>
    </w:p>
    <w:p w14:paraId="2D114E7B">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严格遵守国家有关管理规定和行业标准，组织人员及时验收；严格遵照省财政厅批复的资金限额及财务管理规定，保障资金专款专用，杜绝虚支挪用现象的发生。</w:t>
      </w:r>
    </w:p>
    <w:p w14:paraId="5443A446">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二、项目绩效目标</w:t>
      </w:r>
    </w:p>
    <w:p w14:paraId="30668E3B">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rPr>
        <w:t>包括项目总体目标和年度（或阶段性）目标。根据绩效目标申报表和项目申报书，明确项目绩效目标与立项目的的相关性和合理性，以及项目绩效目标设立依据，反映项目绩效目标的实际设定情况。</w:t>
      </w:r>
    </w:p>
    <w:p w14:paraId="5354BD01">
      <w:pPr>
        <w:pStyle w:val="3"/>
        <w:keepNext w:val="0"/>
        <w:keepLines w:val="0"/>
        <w:pageBreakBefore w:val="0"/>
        <w:widowControl w:val="0"/>
        <w:kinsoku/>
        <w:wordWrap/>
        <w:overflowPunct/>
        <w:topLinePunct w:val="0"/>
        <w:autoSpaceDE/>
        <w:autoSpaceDN/>
        <w:bidi w:val="0"/>
        <w:adjustRightInd/>
        <w:snapToGrid/>
        <w:spacing w:line="600" w:lineRule="exact"/>
        <w:ind w:left="111" w:right="125" w:firstLine="639"/>
        <w:textAlignment w:val="auto"/>
        <w:rPr>
          <w:rFonts w:hint="eastAsia" w:ascii="仿宋_GB2312" w:hAnsi="仿宋_GB2312" w:eastAsia="仿宋_GB2312" w:cs="仿宋_GB2312"/>
        </w:rPr>
      </w:pPr>
      <w:r>
        <w:rPr>
          <w:rFonts w:hint="eastAsia" w:ascii="仿宋_GB2312" w:hAnsi="仿宋_GB2312" w:eastAsia="仿宋_GB2312" w:cs="仿宋_GB2312"/>
        </w:rPr>
        <w:t>档案资料数字化建设项目财政拨款项目资金</w:t>
      </w:r>
      <w:r>
        <w:rPr>
          <w:rFonts w:hint="default" w:ascii="仿宋_GB2312" w:hAnsi="仿宋_GB2312" w:eastAsia="仿宋_GB2312" w:cs="仿宋_GB2312"/>
        </w:rPr>
        <w:t>110.06</w:t>
      </w:r>
      <w:r>
        <w:rPr>
          <w:rFonts w:hint="eastAsia" w:ascii="仿宋_GB2312" w:hAnsi="仿宋_GB2312" w:eastAsia="仿宋_GB2312" w:cs="仿宋_GB2312"/>
        </w:rPr>
        <w:t>万元（含结转资金</w:t>
      </w:r>
      <w:r>
        <w:rPr>
          <w:rFonts w:hint="default" w:ascii="仿宋_GB2312" w:hAnsi="仿宋_GB2312" w:eastAsia="仿宋_GB2312" w:cs="仿宋_GB2312"/>
        </w:rPr>
        <w:t>10.06</w:t>
      </w:r>
      <w:r>
        <w:rPr>
          <w:rFonts w:hint="eastAsia" w:ascii="仿宋_GB2312" w:hAnsi="仿宋_GB2312" w:eastAsia="仿宋_GB2312" w:cs="仿宋_GB2312"/>
        </w:rPr>
        <w:t>万元），全年执行数</w:t>
      </w:r>
      <w:r>
        <w:rPr>
          <w:rFonts w:hint="default" w:ascii="仿宋_GB2312" w:hAnsi="仿宋_GB2312" w:eastAsia="仿宋_GB2312" w:cs="仿宋_GB2312"/>
          <w:lang w:eastAsia="zh-CN"/>
        </w:rPr>
        <w:t>110.06</w:t>
      </w:r>
      <w:r>
        <w:rPr>
          <w:rFonts w:hint="eastAsia" w:ascii="仿宋_GB2312" w:hAnsi="仿宋_GB2312" w:eastAsia="仿宋_GB2312" w:cs="仿宋_GB2312"/>
        </w:rPr>
        <w:t>万元，执行率</w:t>
      </w:r>
      <w:r>
        <w:rPr>
          <w:rFonts w:hint="default" w:ascii="仿宋_GB2312" w:hAnsi="仿宋_GB2312" w:eastAsia="仿宋_GB2312" w:cs="仿宋_GB2312"/>
          <w:lang w:eastAsia="zh-CN"/>
        </w:rPr>
        <w:t>100.00</w:t>
      </w:r>
      <w:r>
        <w:rPr>
          <w:rFonts w:hint="eastAsia" w:ascii="仿宋_GB2312" w:hAnsi="仿宋_GB2312" w:eastAsia="仿宋_GB2312" w:cs="仿宋_GB2312"/>
        </w:rPr>
        <w:t>%；绩效目标数量指标</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rPr>
        <w:t>万画幅，实际完成</w:t>
      </w:r>
      <w:r>
        <w:rPr>
          <w:rFonts w:hint="eastAsia" w:ascii="仿宋_GB2312" w:hAnsi="仿宋_GB2312" w:eastAsia="仿宋_GB2312" w:cs="仿宋_GB2312"/>
          <w:sz w:val="32"/>
          <w:szCs w:val="32"/>
          <w:lang w:val="en-US" w:eastAsia="zh-CN"/>
        </w:rPr>
        <w:t>154.16</w:t>
      </w:r>
      <w:r>
        <w:rPr>
          <w:rFonts w:hint="eastAsia" w:ascii="仿宋_GB2312" w:hAnsi="仿宋_GB2312" w:eastAsia="仿宋_GB2312" w:cs="仿宋_GB2312"/>
        </w:rPr>
        <w:t>万画幅；绩效目录著录8万条，实际完成目录著录</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1.76</w:t>
      </w:r>
      <w:r>
        <w:rPr>
          <w:rFonts w:hint="eastAsia" w:ascii="仿宋_GB2312" w:hAnsi="仿宋_GB2312" w:eastAsia="仿宋_GB2312" w:cs="仿宋_GB2312"/>
        </w:rPr>
        <w:t>万条。该项目预算编报时无法准确预估具体数量，根据数字化扫描结果据实结算，成本控制在0.65元/画幅以内。</w:t>
      </w:r>
    </w:p>
    <w:p w14:paraId="57E904C7">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eastAsia" w:ascii="黑体" w:eastAsia="黑体"/>
        </w:rPr>
        <w:t>三、评价基本情况</w:t>
      </w:r>
    </w:p>
    <w:p w14:paraId="077F53BA">
      <w:pPr>
        <w:pStyle w:val="3"/>
        <w:spacing w:line="660" w:lineRule="exact"/>
        <w:ind w:left="111" w:right="125" w:firstLine="639"/>
        <w:rPr>
          <w:rFonts w:hint="eastAsia" w:ascii="楷体" w:hAnsi="楷体" w:eastAsia="楷体" w:cs="楷体"/>
        </w:rPr>
      </w:pPr>
      <w:r>
        <w:rPr>
          <w:rFonts w:hint="eastAsia" w:ascii="楷体" w:hAnsi="楷体" w:eastAsia="楷体" w:cs="楷体"/>
        </w:rPr>
        <w:t>（一）评价目的</w:t>
      </w:r>
    </w:p>
    <w:p w14:paraId="729DD4F0">
      <w:pPr>
        <w:pStyle w:val="3"/>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馆藏档案数字化转换数量增加，纸质档案转化成数字模式，数字化形成的目录数据库与图像数据库在确认“合格”后，要通过网络及时加载到数据服务器端汇总，实现批量、快速挂接，方便查阅利用，提高档案管理效率。</w:t>
      </w:r>
    </w:p>
    <w:p w14:paraId="4CA6986D">
      <w:pPr>
        <w:pStyle w:val="3"/>
        <w:numPr>
          <w:ilvl w:val="0"/>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（二）</w:t>
      </w:r>
      <w:r>
        <w:rPr>
          <w:rFonts w:hint="eastAsia" w:ascii="楷体" w:hAnsi="楷体" w:eastAsia="楷体" w:cs="楷体"/>
        </w:rPr>
        <w:t>评价对象与范围</w:t>
      </w:r>
    </w:p>
    <w:p w14:paraId="129B38DD">
      <w:pPr>
        <w:pStyle w:val="3"/>
        <w:spacing w:line="660" w:lineRule="exact"/>
        <w:ind w:left="111" w:right="125" w:firstLine="639"/>
        <w:rPr>
          <w:rFonts w:hint="eastAsia" w:ascii="仿宋_GB2312" w:hAnsi="仿宋_GB2312" w:eastAsia="仿宋_GB2312" w:cs="仿宋_GB2312"/>
          <w:lang w:val="en-US" w:eastAsia="zh-CN"/>
        </w:rPr>
      </w:pPr>
      <w:r>
        <w:rPr>
          <w:rFonts w:hint="eastAsia" w:ascii="Times New Roman" w:hAnsi="Times New Roman" w:eastAsia="仿宋_GB2312" w:cs="Times New Roman"/>
        </w:rPr>
        <w:t>评价对象</w:t>
      </w:r>
      <w:r>
        <w:rPr>
          <w:rFonts w:hint="default" w:ascii="Times New Roman" w:hAnsi="Times New Roman" w:eastAsia="仿宋_GB2312" w:cs="Times New Roman"/>
        </w:rPr>
        <w:t>：</w:t>
      </w:r>
      <w:r>
        <w:rPr>
          <w:rFonts w:hint="eastAsia" w:ascii="仿宋_GB2312" w:hAnsi="仿宋_GB2312" w:eastAsia="仿宋_GB2312" w:cs="仿宋_GB2312"/>
          <w:lang w:val="en-US"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年度档案资料数字化建设项目</w:t>
      </w:r>
    </w:p>
    <w:p w14:paraId="36BAC23C">
      <w:pPr>
        <w:pStyle w:val="3"/>
        <w:spacing w:line="660" w:lineRule="exact"/>
        <w:ind w:left="111" w:right="125" w:firstLine="639"/>
        <w:rPr>
          <w:rFonts w:hint="eastAsia" w:ascii="仿宋_GB2312" w:hAnsi="仿宋_GB2312" w:eastAsia="仿宋_GB2312" w:cs="仿宋_GB2312"/>
        </w:rPr>
      </w:pPr>
      <w:r>
        <w:rPr>
          <w:rFonts w:hint="eastAsia" w:ascii="Times New Roman" w:hAnsi="Times New Roman" w:eastAsia="仿宋_GB2312" w:cs="Times New Roman"/>
        </w:rPr>
        <w:t>评价对象</w:t>
      </w:r>
      <w:r>
        <w:rPr>
          <w:rFonts w:hint="eastAsia" w:ascii="Times New Roman" w:hAnsi="Times New Roman" w:eastAsia="仿宋_GB2312" w:cs="Times New Roman"/>
          <w:lang w:val="en-US" w:eastAsia="zh-CN"/>
        </w:rPr>
        <w:t>范围：</w:t>
      </w:r>
      <w:r>
        <w:rPr>
          <w:rFonts w:hint="eastAsia" w:ascii="仿宋_GB2312" w:hAnsi="仿宋_GB2312" w:eastAsia="仿宋_GB2312" w:cs="仿宋_GB2312"/>
          <w:lang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eastAsia="zh-CN"/>
        </w:rPr>
        <w:t>年度</w:t>
      </w:r>
      <w:r>
        <w:rPr>
          <w:rFonts w:hint="eastAsia" w:ascii="仿宋_GB2312" w:hAnsi="仿宋_GB2312" w:eastAsia="仿宋_GB2312" w:cs="仿宋_GB2312"/>
        </w:rPr>
        <w:t>馆藏档案数字化项目</w:t>
      </w:r>
    </w:p>
    <w:p w14:paraId="7AA0C5B2">
      <w:pPr>
        <w:pStyle w:val="3"/>
        <w:numPr>
          <w:ilvl w:val="0"/>
          <w:numId w:val="2"/>
        </w:numPr>
        <w:spacing w:line="660" w:lineRule="exact"/>
        <w:ind w:left="750" w:leftChars="0" w:right="125" w:rightChars="0"/>
        <w:rPr>
          <w:rFonts w:hint="eastAsia" w:ascii="楷体" w:hAnsi="楷体" w:eastAsia="楷体" w:cs="楷体"/>
        </w:rPr>
      </w:pPr>
      <w:r>
        <w:rPr>
          <w:rFonts w:hint="eastAsia" w:ascii="楷体" w:hAnsi="楷体" w:eastAsia="楷体" w:cs="楷体"/>
        </w:rPr>
        <w:t>评价依据</w:t>
      </w:r>
    </w:p>
    <w:p w14:paraId="4E75CCAB">
      <w:pPr>
        <w:pStyle w:val="3"/>
        <w:numPr>
          <w:ilvl w:val="0"/>
          <w:numId w:val="0"/>
        </w:numPr>
        <w:spacing w:line="660" w:lineRule="exact"/>
        <w:ind w:right="125" w:rightChars="0" w:firstLine="800" w:firstLineChars="25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⑴中共甘肃省委办公厅 甘肃省人民政府办公厅关于印</w:t>
      </w:r>
    </w:p>
    <w:p w14:paraId="5D8B9B70">
      <w:pPr>
        <w:pStyle w:val="3"/>
        <w:numPr>
          <w:ilvl w:val="0"/>
          <w:numId w:val="0"/>
        </w:numPr>
        <w:spacing w:line="660" w:lineRule="exact"/>
        <w:ind w:right="125" w:rightChars="0"/>
        <w:rPr>
          <w:rFonts w:hint="eastAsia" w:ascii="Times New Roman" w:hAnsi="Times New Roman" w:eastAsia="仿宋_GB2312" w:cs="Times New Roman"/>
        </w:rPr>
      </w:pPr>
      <w:r>
        <w:rPr>
          <w:rFonts w:hint="eastAsia" w:ascii="Times New Roman" w:hAnsi="Times New Roman" w:eastAsia="仿宋_GB2312" w:cs="Times New Roman"/>
          <w:lang w:val="en-US" w:eastAsia="zh-CN"/>
        </w:rPr>
        <w:t>发《甘肃省档案数字化管理办法（试行）》的通知；⑵《档案数字化外包安全管理</w:t>
      </w:r>
      <w:r>
        <w:rPr>
          <w:rFonts w:hint="default" w:ascii="Times New Roman" w:hAnsi="Times New Roman" w:eastAsia="仿宋_GB2312" w:cs="Times New Roman"/>
          <w:lang w:eastAsia="zh-CN"/>
        </w:rPr>
        <w:t>形成评价报告</w:t>
      </w:r>
      <w:r>
        <w:rPr>
          <w:rFonts w:hint="eastAsia" w:ascii="Times New Roman" w:hAnsi="Times New Roman" w:eastAsia="仿宋_GB2312" w:cs="Times New Roman"/>
          <w:lang w:val="en-US" w:eastAsia="zh-CN"/>
        </w:rPr>
        <w:t>规范》。</w:t>
      </w:r>
    </w:p>
    <w:p w14:paraId="4F90D059">
      <w:pPr>
        <w:pStyle w:val="3"/>
        <w:numPr>
          <w:ilvl w:val="0"/>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（四）</w:t>
      </w:r>
      <w:r>
        <w:rPr>
          <w:rFonts w:hint="eastAsia" w:ascii="楷体" w:hAnsi="楷体" w:eastAsia="楷体" w:cs="楷体"/>
        </w:rPr>
        <w:t>评价原则、评价方法。</w:t>
      </w:r>
    </w:p>
    <w:p w14:paraId="26F28268">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评价原则</w:t>
      </w:r>
    </w:p>
    <w:p w14:paraId="3E5E0728">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（1）科学规范原则。严格执行规定的流程步骤，做到</w:t>
      </w:r>
    </w:p>
    <w:p w14:paraId="547144AB">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指标合理、标准科学、方法适当、结果可信的要求。</w:t>
      </w:r>
    </w:p>
    <w:p w14:paraId="578BDEDB">
      <w:pPr>
        <w:pStyle w:val="3"/>
        <w:numPr>
          <w:ilvl w:val="0"/>
          <w:numId w:val="3"/>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绩效相关原则。评价结果应当清晰反映绩效目标</w:t>
      </w:r>
    </w:p>
    <w:p w14:paraId="0656FFD8">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的实现情况以及预算支出和绩效之</w:t>
      </w:r>
      <w:r>
        <w:rPr>
          <w:rFonts w:hint="default" w:ascii="Times New Roman" w:hAnsi="Times New Roman" w:eastAsia="仿宋_GB2312" w:cs="Times New Roman"/>
          <w:lang w:eastAsia="zh-CN"/>
        </w:rPr>
        <w:t>形成评价报告</w:t>
      </w:r>
      <w:r>
        <w:rPr>
          <w:rFonts w:hint="eastAsia" w:ascii="Times New Roman" w:hAnsi="Times New Roman" w:eastAsia="仿宋_GB2312" w:cs="Times New Roman"/>
          <w:lang w:val="en-US" w:eastAsia="zh-CN"/>
        </w:rPr>
        <w:t>间的对应关系。</w:t>
      </w:r>
    </w:p>
    <w:p w14:paraId="7383FB68">
      <w:pPr>
        <w:pStyle w:val="3"/>
        <w:numPr>
          <w:ilvl w:val="0"/>
          <w:numId w:val="3"/>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公开透明原则。评价结果应当符合真实、客观、</w:t>
      </w:r>
    </w:p>
    <w:p w14:paraId="72B30B1D">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公正的要求,依法依规公开并接受监督。</w:t>
      </w:r>
    </w:p>
    <w:p w14:paraId="2F24D1BB">
      <w:pPr>
        <w:pStyle w:val="3"/>
        <w:numPr>
          <w:ilvl w:val="0"/>
          <w:numId w:val="3"/>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激励约束原则。评价结果与项目的设立、保留、</w:t>
      </w:r>
    </w:p>
    <w:p w14:paraId="7152A649">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整合、调整和退出相挂钩,作为完善政策、改进管理、安排预算的重要依据。</w:t>
      </w:r>
    </w:p>
    <w:p w14:paraId="41F04C4E">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 评价方法</w:t>
      </w:r>
    </w:p>
    <w:p w14:paraId="7A5927AB">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评价的具体实施根据评价指标及评价工作要求，对具体</w:t>
      </w:r>
    </w:p>
    <w:p w14:paraId="2C4F032D">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评价内容和不同环节，对财政专项资金支出的绩效评价采用以下评价方法：</w:t>
      </w:r>
    </w:p>
    <w:p w14:paraId="207FF780">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仿宋_GB2312" w:hAnsi="仿宋_GB2312" w:eastAsia="仿宋_GB2312" w:cs="仿宋_GB2312"/>
          <w:lang w:eastAsia="zh-CN"/>
        </w:rPr>
        <w:t>（1）</w:t>
      </w:r>
      <w:r>
        <w:rPr>
          <w:rFonts w:hint="eastAsia" w:ascii="仿宋_GB2312" w:hAnsi="仿宋_GB2312" w:eastAsia="仿宋_GB2312" w:cs="仿宋_GB2312"/>
          <w:lang w:val="en-US" w:eastAsia="zh-CN"/>
        </w:rPr>
        <w:t>成本效益分析法。</w:t>
      </w:r>
      <w:r>
        <w:rPr>
          <w:rFonts w:hint="eastAsia" w:ascii="Times New Roman" w:hAnsi="Times New Roman" w:eastAsia="仿宋_GB2312" w:cs="Times New Roman"/>
          <w:lang w:val="en-US" w:eastAsia="zh-CN"/>
        </w:rPr>
        <w:t>是指将投入与产出、效益进行</w:t>
      </w:r>
    </w:p>
    <w:p w14:paraId="55315B7C">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关联性分析的方法。 </w:t>
      </w:r>
    </w:p>
    <w:p w14:paraId="06D95F53">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比较法。</w:t>
      </w:r>
      <w:r>
        <w:rPr>
          <w:rFonts w:hint="eastAsia" w:ascii="Times New Roman" w:hAnsi="Times New Roman" w:eastAsia="仿宋_GB2312" w:cs="Times New Roman"/>
          <w:lang w:val="en-US" w:eastAsia="zh-CN"/>
        </w:rPr>
        <w:t>是指将实施情况与绩效目标、历史情况、</w:t>
      </w:r>
    </w:p>
    <w:p w14:paraId="09E73422">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不同部门和地区同类支出情况进行比较的方法。</w:t>
      </w:r>
    </w:p>
    <w:p w14:paraId="37F0E879">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（3）</w:t>
      </w:r>
      <w:r>
        <w:rPr>
          <w:rFonts w:hint="eastAsia" w:ascii="Times New Roman" w:hAnsi="Times New Roman" w:eastAsia="仿宋_GB2312" w:cs="Times New Roman"/>
          <w:lang w:val="en-US" w:eastAsia="zh-CN"/>
        </w:rPr>
        <w:t>因素分析法。是指综合分析影响绩效目标实现、</w:t>
      </w:r>
    </w:p>
    <w:p w14:paraId="2D307AF8">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实施效果的内外部因素的方法。</w:t>
      </w:r>
    </w:p>
    <w:p w14:paraId="5C0FD7A8">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（4）</w:t>
      </w:r>
      <w:r>
        <w:rPr>
          <w:rFonts w:hint="eastAsia" w:ascii="Times New Roman" w:hAnsi="Times New Roman" w:eastAsia="仿宋_GB2312" w:cs="Times New Roman"/>
          <w:lang w:val="en-US" w:eastAsia="zh-CN"/>
        </w:rPr>
        <w:t>最低成本法。是指在绩效目标确定的前提下，成</w:t>
      </w:r>
    </w:p>
    <w:p w14:paraId="39B6CD7B">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本最小者为优的方法。</w:t>
      </w:r>
    </w:p>
    <w:p w14:paraId="6CAFB2B1">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（5）</w:t>
      </w:r>
      <w:r>
        <w:rPr>
          <w:rFonts w:hint="eastAsia" w:ascii="Times New Roman" w:hAnsi="Times New Roman" w:eastAsia="仿宋_GB2312" w:cs="Times New Roman"/>
          <w:lang w:val="en-US" w:eastAsia="zh-CN"/>
        </w:rPr>
        <w:t>公众评判法。是指通过专家评估、公众问卷及抽</w:t>
      </w:r>
    </w:p>
    <w:p w14:paraId="59CAF576">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样调查等方式进行评判的方法。</w:t>
      </w:r>
    </w:p>
    <w:p w14:paraId="5A244784">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（6）</w:t>
      </w:r>
      <w:r>
        <w:rPr>
          <w:rFonts w:hint="eastAsia" w:ascii="仿宋_GB2312" w:hAnsi="仿宋_GB2312" w:eastAsia="仿宋_GB2312" w:cs="仿宋_GB2312"/>
          <w:lang w:val="en-US" w:eastAsia="zh-CN"/>
        </w:rPr>
        <w:t>标杆管理法。</w:t>
      </w:r>
      <w:r>
        <w:rPr>
          <w:rFonts w:hint="eastAsia" w:ascii="Times New Roman" w:hAnsi="Times New Roman" w:eastAsia="仿宋_GB2312" w:cs="Times New Roman"/>
          <w:lang w:val="en-US" w:eastAsia="zh-CN"/>
        </w:rPr>
        <w:t>是指以国内外同行业中较高的绩效</w:t>
      </w:r>
    </w:p>
    <w:p w14:paraId="7FD107BD">
      <w:pPr>
        <w:pStyle w:val="3"/>
        <w:numPr>
          <w:ilvl w:val="0"/>
          <w:numId w:val="0"/>
        </w:numPr>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水平为标杆进行评判的方法。</w:t>
      </w:r>
    </w:p>
    <w:p w14:paraId="74E98A93">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（7）其他评价方法。</w:t>
      </w:r>
    </w:p>
    <w:p w14:paraId="0F1979C2">
      <w:pPr>
        <w:pStyle w:val="3"/>
        <w:spacing w:line="660" w:lineRule="exact"/>
        <w:ind w:left="111" w:right="125" w:firstLine="639"/>
        <w:rPr>
          <w:rFonts w:hint="eastAsia" w:ascii="Times New Roman" w:hAnsi="Times New Roman" w:eastAsia="仿宋_GB2312" w:cs="Times New Roman"/>
        </w:rPr>
      </w:pPr>
      <w:r>
        <w:rPr>
          <w:rFonts w:hint="eastAsia" w:ascii="楷体" w:hAnsi="楷体" w:eastAsia="楷体" w:cs="楷体"/>
        </w:rPr>
        <w:t>（五）绩效评价指标体系。</w:t>
      </w:r>
      <w:r>
        <w:rPr>
          <w:rFonts w:hint="eastAsia" w:ascii="Times New Roman" w:hAnsi="Times New Roman" w:eastAsia="仿宋_GB2312" w:cs="Times New Roman"/>
        </w:rPr>
        <w:t>详述绩效评价指标、指标解释、评价标准、指标权重、数据来源、证据收集方式等。</w:t>
      </w:r>
    </w:p>
    <w:p w14:paraId="583132A3">
      <w:pPr>
        <w:pStyle w:val="3"/>
        <w:spacing w:line="660" w:lineRule="exact"/>
        <w:ind w:left="111" w:right="125" w:firstLine="639"/>
        <w:rPr>
          <w:rFonts w:hint="eastAsia" w:ascii="Times New Roman" w:hAnsi="Times New Roman" w:eastAsia="仿宋_GB2312" w:cs="Times New Roman"/>
        </w:rPr>
      </w:pPr>
    </w:p>
    <w:p w14:paraId="256AD770">
      <w:pPr>
        <w:pStyle w:val="3"/>
        <w:spacing w:line="660" w:lineRule="exact"/>
        <w:ind w:left="111" w:right="125" w:firstLine="639"/>
        <w:rPr>
          <w:rFonts w:hint="eastAsia" w:ascii="Times New Roman" w:hAnsi="Times New Roman" w:eastAsia="仿宋_GB2312" w:cs="Times New Roman"/>
        </w:rPr>
      </w:pPr>
    </w:p>
    <w:p w14:paraId="443D4107">
      <w:pPr>
        <w:pStyle w:val="3"/>
        <w:spacing w:line="660" w:lineRule="exact"/>
        <w:ind w:left="111" w:right="125" w:firstLine="639"/>
        <w:rPr>
          <w:rFonts w:hint="eastAsia" w:ascii="Times New Roman" w:hAnsi="Times New Roman" w:eastAsia="仿宋_GB2312" w:cs="Times New Roman"/>
        </w:rPr>
      </w:pPr>
    </w:p>
    <w:p w14:paraId="078FCDA9">
      <w:pPr>
        <w:pStyle w:val="3"/>
        <w:spacing w:line="660" w:lineRule="exact"/>
        <w:ind w:left="111" w:right="125" w:firstLine="639"/>
        <w:rPr>
          <w:rFonts w:hint="eastAsia" w:ascii="Times New Roman" w:hAnsi="Times New Roman" w:eastAsia="仿宋_GB2312" w:cs="Times New Roman"/>
        </w:rPr>
      </w:pPr>
    </w:p>
    <w:p w14:paraId="7DBBF9B4">
      <w:pPr>
        <w:pStyle w:val="3"/>
        <w:spacing w:line="660" w:lineRule="exact"/>
        <w:ind w:left="111" w:right="125" w:firstLine="639"/>
        <w:rPr>
          <w:rFonts w:hint="eastAsia" w:ascii="Times New Roman" w:hAnsi="Times New Roman" w:eastAsia="仿宋_GB2312" w:cs="Times New Roman"/>
        </w:rPr>
      </w:pPr>
    </w:p>
    <w:p w14:paraId="6E397443">
      <w:pPr>
        <w:pStyle w:val="3"/>
        <w:spacing w:line="660" w:lineRule="exact"/>
        <w:ind w:left="111" w:right="125" w:firstLine="639"/>
        <w:rPr>
          <w:rFonts w:hint="eastAsia" w:ascii="Times New Roman" w:hAnsi="Times New Roman" w:eastAsia="仿宋_GB2312" w:cs="Times New Roman"/>
        </w:rPr>
      </w:pPr>
    </w:p>
    <w:p w14:paraId="59935670">
      <w:pPr>
        <w:pStyle w:val="3"/>
        <w:spacing w:line="660" w:lineRule="exact"/>
        <w:ind w:left="111" w:right="125" w:firstLine="639"/>
        <w:rPr>
          <w:rFonts w:hint="eastAsia" w:ascii="Times New Roman" w:hAnsi="Times New Roman" w:eastAsia="仿宋_GB2312" w:cs="Times New Roman"/>
        </w:rPr>
      </w:pPr>
    </w:p>
    <w:p w14:paraId="63F771E9">
      <w:pPr>
        <w:pStyle w:val="3"/>
        <w:spacing w:line="660" w:lineRule="exact"/>
        <w:ind w:left="111" w:right="125" w:firstLine="639"/>
        <w:rPr>
          <w:rFonts w:hint="eastAsia" w:ascii="Times New Roman" w:hAnsi="Times New Roman" w:eastAsia="仿宋_GB2312" w:cs="Times New Roman"/>
        </w:rPr>
      </w:pPr>
    </w:p>
    <w:p w14:paraId="54419E29">
      <w:pPr>
        <w:pStyle w:val="3"/>
        <w:spacing w:line="660" w:lineRule="exact"/>
        <w:ind w:left="111" w:right="125" w:firstLine="639"/>
        <w:rPr>
          <w:rFonts w:hint="eastAsia" w:ascii="Times New Roman" w:hAnsi="Times New Roman" w:eastAsia="仿宋_GB2312" w:cs="Times New Roman"/>
        </w:rPr>
      </w:pPr>
    </w:p>
    <w:p w14:paraId="2FD1981F">
      <w:pPr>
        <w:pStyle w:val="3"/>
        <w:spacing w:line="660" w:lineRule="exact"/>
        <w:ind w:left="111" w:right="125" w:firstLine="639"/>
        <w:rPr>
          <w:rFonts w:hint="eastAsia" w:ascii="Times New Roman" w:hAnsi="Times New Roman" w:eastAsia="仿宋_GB2312" w:cs="Times New Roman"/>
        </w:rPr>
      </w:pPr>
    </w:p>
    <w:p w14:paraId="76B28F57">
      <w:pPr>
        <w:pStyle w:val="3"/>
        <w:spacing w:line="660" w:lineRule="exact"/>
        <w:ind w:left="111" w:right="125" w:firstLine="639"/>
        <w:rPr>
          <w:rFonts w:hint="eastAsia" w:ascii="Times New Roman" w:hAnsi="Times New Roman" w:eastAsia="仿宋_GB2312" w:cs="Times New Roman"/>
        </w:rPr>
      </w:pPr>
    </w:p>
    <w:p w14:paraId="4BFB5459">
      <w:pPr>
        <w:pStyle w:val="3"/>
        <w:spacing w:line="660" w:lineRule="exact"/>
        <w:ind w:left="111" w:right="125" w:firstLine="639"/>
        <w:rPr>
          <w:rFonts w:hint="eastAsia" w:ascii="Times New Roman" w:hAnsi="Times New Roman" w:eastAsia="仿宋_GB2312" w:cs="Times New Roman"/>
        </w:rPr>
      </w:pPr>
    </w:p>
    <w:p w14:paraId="1E53F3E5">
      <w:pPr>
        <w:pStyle w:val="3"/>
        <w:spacing w:line="660" w:lineRule="exact"/>
        <w:ind w:left="111" w:right="125" w:firstLine="639"/>
        <w:rPr>
          <w:rFonts w:hint="eastAsia" w:ascii="Times New Roman" w:hAnsi="Times New Roman" w:eastAsia="仿宋_GB2312" w:cs="Times New Roman"/>
        </w:rPr>
      </w:pPr>
    </w:p>
    <w:tbl>
      <w:tblPr>
        <w:tblStyle w:val="9"/>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6"/>
        <w:gridCol w:w="1081"/>
        <w:gridCol w:w="1573"/>
        <w:gridCol w:w="848"/>
        <w:gridCol w:w="798"/>
        <w:gridCol w:w="1085"/>
        <w:gridCol w:w="796"/>
        <w:gridCol w:w="1809"/>
      </w:tblGrid>
      <w:tr w14:paraId="6B1B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9216" w:type="dxa"/>
            <w:gridSpan w:val="8"/>
            <w:tcBorders>
              <w:top w:val="nil"/>
              <w:left w:val="nil"/>
              <w:bottom w:val="nil"/>
              <w:right w:val="nil"/>
            </w:tcBorders>
            <w:shd w:val="clear" w:color="auto" w:fill="auto"/>
            <w:noWrap/>
            <w:vAlign w:val="center"/>
          </w:tcPr>
          <w:p w14:paraId="31829C22">
            <w:pPr>
              <w:keepNext w:val="0"/>
              <w:keepLines w:val="0"/>
              <w:widowControl/>
              <w:suppressLineNumbers w:val="0"/>
              <w:jc w:val="center"/>
              <w:textAlignment w:val="center"/>
              <w:rPr>
                <w:rFonts w:hint="eastAsia" w:ascii="宋体" w:hAnsi="宋体" w:eastAsia="宋体" w:cs="宋体"/>
                <w:b/>
                <w:i w:val="0"/>
                <w:color w:val="000000"/>
                <w:sz w:val="10"/>
                <w:szCs w:val="10"/>
                <w:u w:val="none"/>
              </w:rPr>
            </w:pPr>
            <w:r>
              <w:rPr>
                <w:rFonts w:hint="eastAsia" w:ascii="宋体" w:hAnsi="宋体" w:eastAsia="宋体" w:cs="宋体"/>
                <w:b/>
                <w:i w:val="0"/>
                <w:color w:val="000000"/>
                <w:kern w:val="0"/>
                <w:sz w:val="32"/>
                <w:szCs w:val="32"/>
                <w:u w:val="none"/>
                <w:lang w:val="en-US" w:eastAsia="zh-CN" w:bidi="ar"/>
              </w:rPr>
              <w:t>2023年度部门预算项目支出绩效自评表</w:t>
            </w:r>
          </w:p>
        </w:tc>
      </w:tr>
      <w:tr w14:paraId="6F1E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E22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项目名称：</w:t>
            </w:r>
          </w:p>
        </w:tc>
        <w:tc>
          <w:tcPr>
            <w:tcW w:w="79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4D6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档案资料数字化建设经费</w:t>
            </w:r>
          </w:p>
        </w:tc>
      </w:tr>
      <w:tr w14:paraId="136B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4F4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主管部门：</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C969">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甘肃省档案馆</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67E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实施单位：</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60D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甘肃省档案馆</w:t>
            </w:r>
          </w:p>
        </w:tc>
      </w:tr>
      <w:tr w14:paraId="0D4A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921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C8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项目资金（万元）</w:t>
            </w:r>
          </w:p>
        </w:tc>
      </w:tr>
      <w:tr w14:paraId="139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5F13">
            <w:pPr>
              <w:jc w:val="center"/>
              <w:rPr>
                <w:rFonts w:hint="eastAsia" w:ascii="宋体" w:hAnsi="宋体" w:eastAsia="宋体" w:cs="宋体"/>
                <w:i w:val="0"/>
                <w:color w:val="000000"/>
                <w:sz w:val="13"/>
                <w:szCs w:val="13"/>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BC6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年初预算数</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（万元）</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8F6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全年预算数（万元）</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8D3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全年执行数（万元）</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09D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执行率（%）</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C7FF">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分值</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854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得分</w:t>
            </w:r>
          </w:p>
        </w:tc>
      </w:tr>
      <w:tr w14:paraId="5786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131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年度资金总额</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0C8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110.06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D96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110.06</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91A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110.06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C8A2">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4F58">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1DE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r>
      <w:tr w14:paraId="06A8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9C87">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C7CA">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110.06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203E">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110.06</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F6A5">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110.06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AB73">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D7FB">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C83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w:t>
            </w:r>
          </w:p>
        </w:tc>
      </w:tr>
      <w:tr w14:paraId="351C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E646">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其他资金</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68FB">
            <w:pPr>
              <w:jc w:val="center"/>
              <w:rPr>
                <w:rFonts w:hint="eastAsia" w:ascii="宋体" w:hAnsi="宋体" w:eastAsia="宋体" w:cs="宋体"/>
                <w:i w:val="0"/>
                <w:color w:val="000000"/>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048F">
            <w:pPr>
              <w:jc w:val="center"/>
              <w:rPr>
                <w:rFonts w:hint="eastAsia" w:ascii="宋体" w:hAnsi="宋体" w:eastAsia="宋体" w:cs="宋体"/>
                <w:i w:val="0"/>
                <w:color w:val="000000"/>
                <w:sz w:val="13"/>
                <w:szCs w:val="13"/>
                <w:u w:val="none"/>
              </w:rPr>
            </w:pP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20E9">
            <w:pPr>
              <w:jc w:val="center"/>
              <w:rPr>
                <w:rFonts w:hint="eastAsia" w:ascii="宋体" w:hAnsi="宋体" w:eastAsia="宋体" w:cs="宋体"/>
                <w:i w:val="0"/>
                <w:color w:val="000000"/>
                <w:sz w:val="13"/>
                <w:szCs w:val="13"/>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9091">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095C">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DA6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0.00</w:t>
            </w:r>
          </w:p>
        </w:tc>
      </w:tr>
      <w:tr w14:paraId="6B48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27E0">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年度总体目标</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4D4C">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预期目标</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85F0">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实际完成情况</w:t>
            </w:r>
          </w:p>
        </w:tc>
      </w:tr>
      <w:tr w14:paraId="061B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C8C5">
            <w:pPr>
              <w:jc w:val="center"/>
              <w:rPr>
                <w:rFonts w:hint="eastAsia" w:ascii="宋体" w:hAnsi="宋体" w:eastAsia="宋体" w:cs="宋体"/>
                <w:b/>
                <w:i w:val="0"/>
                <w:color w:val="000000"/>
                <w:sz w:val="13"/>
                <w:szCs w:val="13"/>
                <w:u w:val="none"/>
              </w:rPr>
            </w:pP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C194F">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按照计划及时完成馆藏档案数字化项目，实现项目范围内档案数据100%完成，符合国家档案局验收合格指标，保证数据完整准确/查阅便捷高效。</w:t>
            </w:r>
          </w:p>
        </w:tc>
        <w:tc>
          <w:tcPr>
            <w:tcW w:w="5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B61D7">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完成2023年度馆藏数字化任务，百分百完成范围内档案数据，符合国家档案局验收合格指标，2023年副省级以上综合档案馆业务测评中获专家组表扬；数字化数据完整准确，查阅便捷高效。</w:t>
            </w:r>
          </w:p>
        </w:tc>
      </w:tr>
      <w:tr w14:paraId="2A92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57E2">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一级指标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846D">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二级指标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93F9">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三级指标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9B14">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年度指标值</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7DB1">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实际完成值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8F85">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分值（权重）</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6E20">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指标得分</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EE66">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偏差原因分析及改进措施</w:t>
            </w:r>
          </w:p>
        </w:tc>
      </w:tr>
      <w:tr w14:paraId="7876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CCC9">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lang w:val="en-US" w:eastAsia="zh-CN" w:bidi="ar"/>
              </w:rPr>
              <w:t>成本指标</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D2F7B">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经济成本指标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14F39">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数字化加工成本</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87EE">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定额</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98CA6">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FFD1">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3D45">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6382">
            <w:pPr>
              <w:jc w:val="left"/>
              <w:rPr>
                <w:rFonts w:hint="eastAsia" w:ascii="宋体" w:hAnsi="宋体" w:eastAsia="宋体" w:cs="宋体"/>
                <w:i w:val="0"/>
                <w:color w:val="333333"/>
                <w:sz w:val="13"/>
                <w:szCs w:val="13"/>
                <w:u w:val="none"/>
              </w:rPr>
            </w:pPr>
          </w:p>
        </w:tc>
      </w:tr>
      <w:tr w14:paraId="7F97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12943">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lang w:val="en-US" w:eastAsia="zh-CN" w:bidi="ar"/>
              </w:rPr>
              <w:t>产出指标</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48D82">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数量指标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71CA">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馆藏档案数字化画幅扫描</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E155">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&gt;=120万画幅</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6E1B">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154.16万画幅</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EE5F">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738B">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2A64">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数字化项目只能预估扫描画幅数量及目录著录条数，不能精确预算，目录著录根据数字化扫描画幅录入，项目结算方式是以具体完工作量据实结算。</w:t>
            </w:r>
          </w:p>
        </w:tc>
      </w:tr>
      <w:tr w14:paraId="3B27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4384B">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E4C35">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7D7C">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馆藏档案数字化目录著录</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B950">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&gt;=8万条</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A286">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11.76万条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EA08">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063B">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6.35</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4CAC">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数字化项目只能预估扫描画幅数量及目录著录条数，不能精确预算，目录著录根据数字化扫描画幅录入，项目结算方式是以具体完工作量据实结算。</w:t>
            </w:r>
          </w:p>
        </w:tc>
      </w:tr>
      <w:tr w14:paraId="55B9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00B02">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11B19">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5B49E">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项目范围内档案数据完成率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4256">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A7C97">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6CD8">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6.7</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B7096">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6.7</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143F">
            <w:pPr>
              <w:jc w:val="left"/>
              <w:rPr>
                <w:rFonts w:hint="eastAsia" w:ascii="宋体" w:hAnsi="宋体" w:eastAsia="宋体" w:cs="宋体"/>
                <w:i w:val="0"/>
                <w:color w:val="333333"/>
                <w:sz w:val="13"/>
                <w:szCs w:val="13"/>
                <w:u w:val="none"/>
              </w:rPr>
            </w:pPr>
          </w:p>
        </w:tc>
      </w:tr>
      <w:tr w14:paraId="6C20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33DEE">
            <w:pPr>
              <w:jc w:val="center"/>
              <w:rPr>
                <w:rFonts w:hint="eastAsia" w:ascii="宋体" w:hAnsi="宋体" w:eastAsia="宋体" w:cs="宋体"/>
                <w:b/>
                <w:i w:val="0"/>
                <w:color w:val="333333"/>
                <w:sz w:val="13"/>
                <w:szCs w:val="13"/>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54220">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质量指标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C949">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电子化档案开放利用合格率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0997E">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&gt;=85%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ABF8">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2D84">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6EB3">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188CD">
            <w:pPr>
              <w:jc w:val="left"/>
              <w:rPr>
                <w:rFonts w:hint="eastAsia" w:ascii="宋体" w:hAnsi="宋体" w:eastAsia="宋体" w:cs="宋体"/>
                <w:i w:val="0"/>
                <w:color w:val="333333"/>
                <w:sz w:val="13"/>
                <w:szCs w:val="13"/>
                <w:u w:val="none"/>
              </w:rPr>
            </w:pPr>
          </w:p>
        </w:tc>
      </w:tr>
      <w:tr w14:paraId="50F4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7DBAC">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40D97">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F945">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数字化档案转化清晰率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45B9">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&gt;=99%</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74786">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99%</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171C">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F9C1">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E603">
            <w:pPr>
              <w:jc w:val="left"/>
              <w:rPr>
                <w:rFonts w:hint="eastAsia" w:ascii="宋体" w:hAnsi="宋体" w:eastAsia="宋体" w:cs="宋体"/>
                <w:i w:val="0"/>
                <w:color w:val="333333"/>
                <w:sz w:val="13"/>
                <w:szCs w:val="13"/>
                <w:u w:val="none"/>
              </w:rPr>
            </w:pPr>
          </w:p>
        </w:tc>
      </w:tr>
      <w:tr w14:paraId="46D3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3B70F">
            <w:pPr>
              <w:jc w:val="center"/>
              <w:rPr>
                <w:rFonts w:hint="eastAsia" w:ascii="宋体" w:hAnsi="宋体" w:eastAsia="宋体" w:cs="宋体"/>
                <w:b/>
                <w:i w:val="0"/>
                <w:color w:val="333333"/>
                <w:sz w:val="13"/>
                <w:szCs w:val="13"/>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85B0">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时效指标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BA7A">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档案数字化工作完成及时性</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ED68">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及时</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6F9C">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B5237">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2C062">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E132">
            <w:pPr>
              <w:jc w:val="left"/>
              <w:rPr>
                <w:rFonts w:hint="eastAsia" w:ascii="宋体" w:hAnsi="宋体" w:eastAsia="宋体" w:cs="宋体"/>
                <w:i w:val="0"/>
                <w:color w:val="333333"/>
                <w:sz w:val="13"/>
                <w:szCs w:val="13"/>
                <w:u w:val="none"/>
              </w:rPr>
            </w:pPr>
          </w:p>
        </w:tc>
      </w:tr>
      <w:tr w14:paraId="4DB8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98402">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lang w:val="en-US" w:eastAsia="zh-CN" w:bidi="ar"/>
              </w:rPr>
              <w:t>效益指标</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F4B5">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经济效益指标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4CCB">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资金利用率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26AA">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&gt;95%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5F0B">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4BAB">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065E">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15012">
            <w:pPr>
              <w:jc w:val="left"/>
              <w:rPr>
                <w:rFonts w:hint="eastAsia" w:ascii="宋体" w:hAnsi="宋体" w:eastAsia="宋体" w:cs="宋体"/>
                <w:i w:val="0"/>
                <w:color w:val="333333"/>
                <w:sz w:val="13"/>
                <w:szCs w:val="13"/>
                <w:u w:val="none"/>
              </w:rPr>
            </w:pPr>
          </w:p>
        </w:tc>
      </w:tr>
      <w:tr w14:paraId="4F8C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661CF">
            <w:pPr>
              <w:jc w:val="center"/>
              <w:rPr>
                <w:rFonts w:hint="eastAsia" w:ascii="宋体" w:hAnsi="宋体" w:eastAsia="宋体" w:cs="宋体"/>
                <w:b/>
                <w:i w:val="0"/>
                <w:color w:val="333333"/>
                <w:sz w:val="13"/>
                <w:szCs w:val="13"/>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4B876">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社会效益指标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6BA3">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档案借阅次数</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775E">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显著提高</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CF22">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8718">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FCA17">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4990">
            <w:pPr>
              <w:jc w:val="left"/>
              <w:rPr>
                <w:rFonts w:hint="eastAsia" w:ascii="宋体" w:hAnsi="宋体" w:eastAsia="宋体" w:cs="宋体"/>
                <w:i w:val="0"/>
                <w:color w:val="333333"/>
                <w:sz w:val="13"/>
                <w:szCs w:val="13"/>
                <w:u w:val="none"/>
              </w:rPr>
            </w:pPr>
          </w:p>
        </w:tc>
      </w:tr>
      <w:tr w14:paraId="0A8D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6415C">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79771">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4F5AA">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档案泄密损毁事件发生数</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59D1">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0起</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CFB7">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0起</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ACE4">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740B1">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87D1">
            <w:pPr>
              <w:jc w:val="left"/>
              <w:rPr>
                <w:rFonts w:hint="eastAsia" w:ascii="宋体" w:hAnsi="宋体" w:eastAsia="宋体" w:cs="宋体"/>
                <w:i w:val="0"/>
                <w:color w:val="333333"/>
                <w:sz w:val="13"/>
                <w:szCs w:val="13"/>
                <w:u w:val="none"/>
              </w:rPr>
            </w:pPr>
          </w:p>
        </w:tc>
      </w:tr>
      <w:tr w14:paraId="615C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FA3FC">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A75C6">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A02DD">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档案寻找时间成本</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BDCB">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节约</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449A">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3446C">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F198">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0035">
            <w:pPr>
              <w:jc w:val="left"/>
              <w:rPr>
                <w:rFonts w:hint="eastAsia" w:ascii="宋体" w:hAnsi="宋体" w:eastAsia="宋体" w:cs="宋体"/>
                <w:i w:val="0"/>
                <w:color w:val="333333"/>
                <w:sz w:val="13"/>
                <w:szCs w:val="13"/>
                <w:u w:val="none"/>
              </w:rPr>
            </w:pPr>
          </w:p>
        </w:tc>
      </w:tr>
      <w:tr w14:paraId="5EDF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6F6E4">
            <w:pPr>
              <w:jc w:val="center"/>
              <w:rPr>
                <w:rFonts w:hint="eastAsia" w:ascii="宋体" w:hAnsi="宋体" w:eastAsia="宋体" w:cs="宋体"/>
                <w:b/>
                <w:i w:val="0"/>
                <w:color w:val="333333"/>
                <w:sz w:val="13"/>
                <w:szCs w:val="13"/>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26169">
            <w:pPr>
              <w:jc w:val="center"/>
              <w:rPr>
                <w:rFonts w:hint="eastAsia" w:ascii="宋体" w:hAnsi="宋体" w:eastAsia="宋体" w:cs="宋体"/>
                <w:i w:val="0"/>
                <w:color w:val="333333"/>
                <w:sz w:val="13"/>
                <w:szCs w:val="13"/>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E272">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电子化档案覆盖率</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14E4">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提升</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BB38">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CF90">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9EA9">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F8897">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2022年底数字化覆盖率78%，2023年底数字化覆盖率81%，稳步提升。</w:t>
            </w:r>
          </w:p>
        </w:tc>
      </w:tr>
      <w:tr w14:paraId="0F2A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BD114">
            <w:pPr>
              <w:jc w:val="center"/>
              <w:rPr>
                <w:rFonts w:hint="eastAsia" w:ascii="宋体" w:hAnsi="宋体" w:eastAsia="宋体" w:cs="宋体"/>
                <w:b/>
                <w:i w:val="0"/>
                <w:color w:val="333333"/>
                <w:sz w:val="13"/>
                <w:szCs w:val="13"/>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B65F">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生态效益指标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44490">
            <w:pPr>
              <w:jc w:val="left"/>
              <w:rPr>
                <w:rFonts w:hint="eastAsia" w:ascii="宋体" w:hAnsi="宋体" w:eastAsia="宋体" w:cs="宋体"/>
                <w:i w:val="0"/>
                <w:color w:val="333333"/>
                <w:sz w:val="13"/>
                <w:szCs w:val="13"/>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E7369">
            <w:pPr>
              <w:jc w:val="center"/>
              <w:rPr>
                <w:rFonts w:hint="eastAsia" w:ascii="宋体" w:hAnsi="宋体" w:eastAsia="宋体" w:cs="宋体"/>
                <w:i w:val="0"/>
                <w:color w:val="333333"/>
                <w:sz w:val="13"/>
                <w:szCs w:val="13"/>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7A24">
            <w:pPr>
              <w:jc w:val="center"/>
              <w:rPr>
                <w:rFonts w:hint="eastAsia" w:ascii="宋体" w:hAnsi="宋体" w:eastAsia="宋体" w:cs="宋体"/>
                <w:i w:val="0"/>
                <w:color w:val="333333"/>
                <w:sz w:val="13"/>
                <w:szCs w:val="13"/>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DF79">
            <w:pPr>
              <w:jc w:val="center"/>
              <w:rPr>
                <w:rFonts w:hint="eastAsia" w:ascii="宋体" w:hAnsi="宋体" w:eastAsia="宋体" w:cs="宋体"/>
                <w:i w:val="0"/>
                <w:color w:val="333333"/>
                <w:sz w:val="13"/>
                <w:szCs w:val="13"/>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70B8">
            <w:pPr>
              <w:jc w:val="center"/>
              <w:rPr>
                <w:rFonts w:hint="eastAsia" w:ascii="宋体" w:hAnsi="宋体" w:eastAsia="宋体" w:cs="宋体"/>
                <w:i w:val="0"/>
                <w:color w:val="333333"/>
                <w:sz w:val="13"/>
                <w:szCs w:val="13"/>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F36F">
            <w:pPr>
              <w:jc w:val="left"/>
              <w:rPr>
                <w:rFonts w:hint="eastAsia" w:ascii="宋体" w:hAnsi="宋体" w:eastAsia="宋体" w:cs="宋体"/>
                <w:i w:val="0"/>
                <w:color w:val="333333"/>
                <w:sz w:val="13"/>
                <w:szCs w:val="13"/>
                <w:u w:val="none"/>
              </w:rPr>
            </w:pPr>
          </w:p>
        </w:tc>
      </w:tr>
      <w:tr w14:paraId="36C1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D49FF">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lang w:val="en-US" w:eastAsia="zh-CN" w:bidi="ar"/>
              </w:rPr>
              <w:t>满意度指标</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1CB4B">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服务对象满意度指标</w:t>
            </w: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0031A">
            <w:pPr>
              <w:keepNext w:val="0"/>
              <w:keepLines w:val="0"/>
              <w:widowControl/>
              <w:suppressLineNumbers w:val="0"/>
              <w:jc w:val="left"/>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档案使用者满意度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090E">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&gt;=85%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B4DE">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98%</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2445">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6414F">
            <w:pPr>
              <w:keepNext w:val="0"/>
              <w:keepLines w:val="0"/>
              <w:widowControl/>
              <w:suppressLineNumbers w:val="0"/>
              <w:jc w:val="center"/>
              <w:textAlignment w:val="center"/>
              <w:rPr>
                <w:rFonts w:hint="eastAsia" w:ascii="宋体" w:hAnsi="宋体" w:eastAsia="宋体" w:cs="宋体"/>
                <w:i w:val="0"/>
                <w:color w:val="333333"/>
                <w:sz w:val="13"/>
                <w:szCs w:val="13"/>
                <w:u w:val="none"/>
              </w:rPr>
            </w:pPr>
            <w:r>
              <w:rPr>
                <w:rFonts w:hint="eastAsia" w:ascii="宋体" w:hAnsi="宋体" w:eastAsia="宋体" w:cs="宋体"/>
                <w:i w:val="0"/>
                <w:color w:val="333333"/>
                <w:kern w:val="0"/>
                <w:sz w:val="13"/>
                <w:szCs w:val="13"/>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D325">
            <w:pPr>
              <w:jc w:val="left"/>
              <w:rPr>
                <w:rFonts w:hint="eastAsia" w:ascii="宋体" w:hAnsi="宋体" w:eastAsia="宋体" w:cs="宋体"/>
                <w:i w:val="0"/>
                <w:color w:val="333333"/>
                <w:sz w:val="13"/>
                <w:szCs w:val="13"/>
                <w:u w:val="none"/>
              </w:rPr>
            </w:pPr>
          </w:p>
        </w:tc>
      </w:tr>
      <w:tr w14:paraId="44B9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CC3DA">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总分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AB39">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C85B">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lang w:val="en-US" w:eastAsia="zh-CN" w:bidi="ar"/>
              </w:rPr>
              <w:t>99.69</w:t>
            </w:r>
          </w:p>
        </w:tc>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DC83">
            <w:pPr>
              <w:keepNext w:val="0"/>
              <w:keepLines w:val="0"/>
              <w:widowControl/>
              <w:suppressLineNumbers w:val="0"/>
              <w:jc w:val="center"/>
              <w:textAlignment w:val="center"/>
              <w:rPr>
                <w:rFonts w:hint="eastAsia" w:ascii="宋体" w:hAnsi="宋体" w:eastAsia="宋体" w:cs="宋体"/>
                <w:b/>
                <w:i w:val="0"/>
                <w:color w:val="333333"/>
                <w:sz w:val="13"/>
                <w:szCs w:val="13"/>
                <w:u w:val="none"/>
              </w:rPr>
            </w:pPr>
            <w:r>
              <w:rPr>
                <w:rFonts w:hint="eastAsia" w:ascii="宋体" w:hAnsi="宋体" w:eastAsia="宋体" w:cs="宋体"/>
                <w:b/>
                <w:i w:val="0"/>
                <w:color w:val="333333"/>
                <w:kern w:val="0"/>
                <w:sz w:val="13"/>
                <w:szCs w:val="13"/>
                <w:u w:val="none"/>
                <w:lang w:val="en-US" w:eastAsia="zh-CN" w:bidi="ar"/>
              </w:rPr>
              <w:t>优秀</w:t>
            </w:r>
          </w:p>
        </w:tc>
      </w:tr>
      <w:tr w14:paraId="3E55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D46D">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说明</w:t>
            </w:r>
          </w:p>
        </w:tc>
        <w:tc>
          <w:tcPr>
            <w:tcW w:w="79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4ED8">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请在此处简要说明中央和省委巡视、各级审计和财政监督中发现的问题及其所涉及的金额，如没有填无。</w:t>
            </w:r>
          </w:p>
        </w:tc>
      </w:tr>
    </w:tbl>
    <w:p w14:paraId="4D63B2EA">
      <w:pPr>
        <w:pStyle w:val="3"/>
        <w:numPr>
          <w:ilvl w:val="0"/>
          <w:numId w:val="0"/>
        </w:numPr>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lang w:val="en-US" w:eastAsia="zh-CN"/>
        </w:rPr>
        <w:t>该项目绩效评价指标体系细化到三级指标，具体到数字化实际转化数量，参照财务支付进度，通过对档案查阅人员进行调查问卷，形成系统全面地绩效评价体系。</w:t>
      </w:r>
    </w:p>
    <w:p w14:paraId="1CAF9941">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楷体" w:hAnsi="楷体" w:eastAsia="楷体" w:cs="楷体"/>
        </w:rPr>
        <w:t>（六）评价人员组成。</w:t>
      </w:r>
      <w:r>
        <w:rPr>
          <w:rFonts w:hint="eastAsia" w:ascii="Times New Roman" w:hAnsi="Times New Roman" w:eastAsia="仿宋_GB2312" w:cs="Times New Roman"/>
          <w:lang w:val="en-US" w:eastAsia="zh-CN"/>
        </w:rPr>
        <w:t>列明人员所在单位、专业、技术职称及分工等。</w:t>
      </w:r>
    </w:p>
    <w:p w14:paraId="63AE6928">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评价人员：</w:t>
      </w:r>
      <w:r>
        <w:rPr>
          <w:rFonts w:hint="default" w:ascii="Times New Roman" w:hAnsi="Times New Roman" w:eastAsia="仿宋_GB2312" w:cs="Times New Roman"/>
          <w:lang w:eastAsia="zh-CN"/>
        </w:rPr>
        <w:t>李海洋</w:t>
      </w:r>
      <w:r>
        <w:rPr>
          <w:rFonts w:hint="eastAsia" w:ascii="Times New Roman" w:hAnsi="Times New Roman" w:eastAsia="仿宋_GB2312" w:cs="Times New Roman"/>
          <w:lang w:val="en-US" w:eastAsia="zh-CN"/>
        </w:rPr>
        <w:t xml:space="preserve">   副馆长           财务分管领导</w:t>
      </w:r>
    </w:p>
    <w:p w14:paraId="36B47BA2">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lang w:eastAsia="zh-CN"/>
        </w:rPr>
        <w:t>吕乾坤</w:t>
      </w:r>
      <w:r>
        <w:rPr>
          <w:rFonts w:hint="eastAsia" w:ascii="Times New Roman" w:hAnsi="Times New Roman" w:eastAsia="仿宋_GB2312" w:cs="Times New Roman"/>
          <w:lang w:val="en-US" w:eastAsia="zh-CN"/>
        </w:rPr>
        <w:t xml:space="preserve">   办公室主任       财务负责人</w:t>
      </w:r>
    </w:p>
    <w:p w14:paraId="22FCD1CE">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李晓云   办公室</w:t>
      </w:r>
      <w:r>
        <w:rPr>
          <w:rFonts w:hint="default" w:ascii="Times New Roman" w:hAnsi="Times New Roman" w:eastAsia="仿宋_GB2312" w:cs="Times New Roman"/>
          <w:lang w:eastAsia="zh-CN"/>
        </w:rPr>
        <w:t>二</w:t>
      </w:r>
      <w:r>
        <w:rPr>
          <w:rFonts w:hint="eastAsia" w:ascii="Times New Roman" w:hAnsi="Times New Roman" w:eastAsia="仿宋_GB2312" w:cs="Times New Roman"/>
          <w:lang w:val="en-US" w:eastAsia="zh-CN"/>
        </w:rPr>
        <w:t>级主任科员   会计</w:t>
      </w:r>
    </w:p>
    <w:p w14:paraId="76A64E6F">
      <w:pPr>
        <w:pStyle w:val="3"/>
        <w:numPr>
          <w:ilvl w:val="0"/>
          <w:numId w:val="0"/>
        </w:numPr>
        <w:spacing w:line="660" w:lineRule="exact"/>
        <w:ind w:left="750" w:leftChars="0" w:right="125" w:rightChars="0"/>
        <w:rPr>
          <w:rFonts w:hint="eastAsia" w:ascii="Times New Roman" w:hAnsi="Times New Roman" w:eastAsia="仿宋_GB2312" w:cs="Times New Roman"/>
        </w:rPr>
      </w:pPr>
      <w:r>
        <w:rPr>
          <w:rFonts w:hint="default" w:ascii="楷体" w:hAnsi="楷体" w:eastAsia="楷体" w:cs="楷体"/>
        </w:rPr>
        <w:t>（七）</w:t>
      </w:r>
      <w:r>
        <w:rPr>
          <w:rFonts w:hint="eastAsia" w:ascii="楷体" w:hAnsi="楷体" w:eastAsia="楷体" w:cs="楷体"/>
        </w:rPr>
        <w:t>绩效评价工作过程。</w:t>
      </w:r>
      <w:r>
        <w:rPr>
          <w:rFonts w:hint="eastAsia" w:ascii="Times New Roman" w:hAnsi="Times New Roman" w:eastAsia="仿宋_GB2312" w:cs="Times New Roman"/>
          <w:lang w:val="en-US" w:eastAsia="zh-CN"/>
        </w:rPr>
        <w:t>详述前期准备、非现场评价、现场评价、综合分析、评价报告撰写等评价工作过程。</w:t>
      </w:r>
      <w:r>
        <w:rPr>
          <w:rFonts w:hint="eastAsia" w:ascii="仿宋_GB2312" w:hAnsi="仿宋_GB2312" w:eastAsia="仿宋_GB2312" w:cs="仿宋_GB2312"/>
          <w:lang w:eastAsia="zh-CN"/>
        </w:rPr>
        <w:t>1、</w:t>
      </w:r>
      <w:r>
        <w:rPr>
          <w:rFonts w:hint="eastAsia" w:ascii="仿宋_GB2312" w:hAnsi="仿宋_GB2312" w:eastAsia="仿宋_GB2312" w:cs="仿宋_GB2312"/>
        </w:rPr>
        <w:t>前期准备</w:t>
      </w:r>
    </w:p>
    <w:p w14:paraId="53C0228D">
      <w:pPr>
        <w:pStyle w:val="3"/>
        <w:numPr>
          <w:ilvl w:val="0"/>
          <w:numId w:val="0"/>
        </w:numPr>
        <w:spacing w:line="660" w:lineRule="exact"/>
        <w:ind w:right="125" w:rightChars="0"/>
        <w:rPr>
          <w:rFonts w:hint="eastAsia" w:ascii="仿宋_GB2312" w:hAnsi="仿宋_GB2312" w:eastAsia="仿宋_GB2312" w:cs="仿宋_GB2312"/>
          <w:lang w:val="en-US" w:eastAsia="zh-CN"/>
        </w:rPr>
      </w:pPr>
      <w:r>
        <w:rPr>
          <w:rFonts w:hint="eastAsia" w:ascii="Times New Roman" w:hAnsi="Times New Roman" w:eastAsia="仿宋_GB2312" w:cs="Times New Roman"/>
          <w:lang w:val="en-US" w:eastAsia="zh-CN"/>
        </w:rPr>
        <w:t xml:space="preserve">   </w:t>
      </w:r>
      <w:r>
        <w:rPr>
          <w:rFonts w:hint="eastAsia" w:ascii="仿宋_GB2312" w:hAnsi="仿宋_GB2312" w:eastAsia="仿宋_GB2312" w:cs="仿宋_GB2312"/>
          <w:lang w:val="en-US" w:eastAsia="zh-CN"/>
        </w:rPr>
        <w:t xml:space="preserve"> （1）召开绩效评价培训会，相关业务处室、项目实施单位参加培训会议。</w:t>
      </w:r>
    </w:p>
    <w:p w14:paraId="5CFB973B">
      <w:pPr>
        <w:pStyle w:val="3"/>
        <w:numPr>
          <w:ilvl w:val="0"/>
          <w:numId w:val="0"/>
        </w:numPr>
        <w:spacing w:line="660" w:lineRule="exact"/>
        <w:ind w:right="125" w:righ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（2）成立绩效评价领导小组，由财务分管领导任组长，小组成员包括财务负责人、会计。</w:t>
      </w:r>
    </w:p>
    <w:p w14:paraId="25EB6928">
      <w:pPr>
        <w:pStyle w:val="3"/>
        <w:numPr>
          <w:ilvl w:val="0"/>
          <w:numId w:val="0"/>
        </w:numPr>
        <w:spacing w:line="660" w:lineRule="exact"/>
        <w:ind w:right="125" w:righ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（3）确定绩效评价方案、评价方法。</w:t>
      </w:r>
    </w:p>
    <w:p w14:paraId="42782CD9">
      <w:pPr>
        <w:pStyle w:val="3"/>
        <w:numPr>
          <w:ilvl w:val="0"/>
          <w:numId w:val="4"/>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非现场评价、现场评价、综合分析、评价报告撰写等评价工作过程。</w:t>
      </w:r>
    </w:p>
    <w:p w14:paraId="662F623D">
      <w:pPr>
        <w:pStyle w:val="3"/>
        <w:numPr>
          <w:ilvl w:val="0"/>
          <w:numId w:val="0"/>
        </w:numPr>
        <w:spacing w:line="660" w:lineRule="exact"/>
        <w:ind w:right="125" w:rightChars="0" w:firstLine="640" w:firstLineChars="200"/>
        <w:rPr>
          <w:rFonts w:hint="eastAsia" w:ascii="Times New Roman" w:hAnsi="Times New Roman" w:eastAsia="仿宋_GB2312" w:cs="Times New Roman"/>
          <w:lang w:eastAsia="zh-CN"/>
        </w:rPr>
      </w:pPr>
      <w:r>
        <w:rPr>
          <w:rFonts w:hint="default" w:ascii="Times New Roman" w:hAnsi="Times New Roman" w:eastAsia="仿宋_GB2312" w:cs="Times New Roman"/>
          <w:lang w:eastAsia="zh-CN"/>
        </w:rPr>
        <w:t>（1）</w:t>
      </w:r>
      <w:r>
        <w:rPr>
          <w:rFonts w:hint="eastAsia" w:ascii="Times New Roman" w:hAnsi="Times New Roman" w:eastAsia="仿宋_GB2312" w:cs="Times New Roman"/>
          <w:lang w:eastAsia="zh-CN"/>
        </w:rPr>
        <w:t>非现场评价</w:t>
      </w:r>
    </w:p>
    <w:p w14:paraId="2732067F">
      <w:pPr>
        <w:pStyle w:val="3"/>
        <w:numPr>
          <w:ilvl w:val="0"/>
          <w:numId w:val="0"/>
        </w:numPr>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通过查阅财政年初预算批复资料，掌握项目当年预算资金，了解资金管理情况。</w:t>
      </w:r>
    </w:p>
    <w:p w14:paraId="435DC98F">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（2）</w:t>
      </w:r>
      <w:r>
        <w:rPr>
          <w:rFonts w:hint="eastAsia" w:ascii="Times New Roman" w:hAnsi="Times New Roman" w:eastAsia="仿宋_GB2312" w:cs="Times New Roman"/>
          <w:lang w:val="en-US" w:eastAsia="zh-CN"/>
        </w:rPr>
        <w:t>现场评价</w:t>
      </w:r>
    </w:p>
    <w:p w14:paraId="78A9BD5D">
      <w:pPr>
        <w:pStyle w:val="3"/>
        <w:numPr>
          <w:ilvl w:val="0"/>
          <w:numId w:val="0"/>
        </w:numPr>
        <w:spacing w:line="660" w:lineRule="exact"/>
        <w:ind w:right="125" w:rightChars="0" w:firstLine="64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实地调研档案资料数字化加工现场，查看档案数字化转化清晰度、施工进度、时效；查看馆藏系统平台升级改造完成情况。</w:t>
      </w:r>
    </w:p>
    <w:p w14:paraId="26B27CF1">
      <w:pPr>
        <w:pStyle w:val="3"/>
        <w:numPr>
          <w:ilvl w:val="0"/>
          <w:numId w:val="0"/>
        </w:numPr>
        <w:spacing w:line="660" w:lineRule="exact"/>
        <w:ind w:left="750" w:leftChars="0" w:right="125" w:rightChars="0"/>
        <w:rPr>
          <w:rFonts w:hint="eastAsia" w:ascii="Times New Roman" w:hAnsi="Times New Roman" w:eastAsia="仿宋_GB2312" w:cs="Times New Roman"/>
          <w:lang w:val="en-US" w:eastAsia="zh-CN"/>
        </w:rPr>
      </w:pPr>
      <w:r>
        <w:rPr>
          <w:rFonts w:hint="eastAsia" w:ascii="仿宋_GB2312" w:hAnsi="仿宋_GB2312" w:eastAsia="仿宋_GB2312" w:cs="仿宋_GB2312"/>
          <w:lang w:eastAsia="zh-CN"/>
        </w:rPr>
        <w:t>（3）</w:t>
      </w:r>
      <w:r>
        <w:rPr>
          <w:rFonts w:hint="eastAsia" w:ascii="Times New Roman" w:hAnsi="Times New Roman" w:eastAsia="仿宋_GB2312" w:cs="Times New Roman"/>
          <w:lang w:val="en-US" w:eastAsia="zh-CN"/>
        </w:rPr>
        <w:t>综合分析</w:t>
      </w:r>
    </w:p>
    <w:p w14:paraId="4F352895">
      <w:pPr>
        <w:pStyle w:val="3"/>
        <w:numPr>
          <w:ilvl w:val="0"/>
          <w:numId w:val="0"/>
        </w:numPr>
        <w:spacing w:line="660" w:lineRule="exact"/>
        <w:ind w:right="125" w:rightChars="0" w:firstLine="640"/>
        <w:rPr>
          <w:rFonts w:hint="eastAsia" w:ascii="仿宋_GB2312" w:hAnsi="仿宋_GB2312" w:eastAsia="仿宋_GB2312" w:cs="仿宋_GB2312"/>
        </w:rPr>
      </w:pPr>
      <w:r>
        <w:rPr>
          <w:rFonts w:hint="eastAsia" w:ascii="仿宋_GB2312" w:hAnsi="仿宋_GB2312" w:eastAsia="仿宋_GB2312" w:cs="仿宋_GB2312"/>
          <w:lang w:val="en-US" w:eastAsia="zh-CN"/>
        </w:rPr>
        <w:t>对照财务数据、电子文件管理处、实施单位提供的资料，结合实地考察、调查问卷的方式，对202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年度档案资料数字化建设项目作出综合分析、评价，形成评价报告。</w:t>
      </w:r>
    </w:p>
    <w:p w14:paraId="7582708C">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eastAsia" w:ascii="黑体" w:eastAsia="黑体"/>
        </w:rPr>
      </w:pPr>
      <w:r>
        <w:rPr>
          <w:rFonts w:hint="default" w:ascii="黑体" w:eastAsia="黑体"/>
        </w:rPr>
        <w:t>四、</w:t>
      </w:r>
      <w:r>
        <w:rPr>
          <w:rFonts w:hint="eastAsia" w:ascii="黑体" w:eastAsia="黑体"/>
        </w:rPr>
        <w:t>评价结论及分析</w:t>
      </w:r>
    </w:p>
    <w:p w14:paraId="7B91B1CC">
      <w:pPr>
        <w:pStyle w:val="3"/>
        <w:numPr>
          <w:ilvl w:val="0"/>
          <w:numId w:val="0"/>
        </w:numPr>
        <w:spacing w:line="660" w:lineRule="exact"/>
        <w:ind w:left="750" w:leftChars="0" w:right="125" w:rightChars="0"/>
        <w:rPr>
          <w:rFonts w:hint="eastAsia" w:ascii="楷体" w:hAnsi="楷体" w:eastAsia="楷体" w:cs="楷体"/>
        </w:rPr>
      </w:pPr>
      <w:r>
        <w:rPr>
          <w:rFonts w:hint="default" w:ascii="楷体" w:hAnsi="楷体" w:eastAsia="楷体" w:cs="楷体"/>
        </w:rPr>
        <w:t>（一）</w:t>
      </w:r>
      <w:r>
        <w:rPr>
          <w:rFonts w:hint="eastAsia" w:ascii="楷体" w:hAnsi="楷体" w:eastAsia="楷体" w:cs="楷体"/>
        </w:rPr>
        <w:t>综合评价情况及评价结论（附相关评分表）</w:t>
      </w:r>
    </w:p>
    <w:p w14:paraId="236CB2E4">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lang w:val="en-US"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年馆藏档案资料数字化建设项目</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评价结果“</w:t>
      </w:r>
      <w:r>
        <w:rPr>
          <w:rFonts w:hint="eastAsia" w:ascii="仿宋_GB2312" w:hAnsi="仿宋_GB2312" w:eastAsia="仿宋_GB2312" w:cs="仿宋_GB2312"/>
          <w:lang w:eastAsia="zh-CN"/>
        </w:rPr>
        <w:t>优秀</w:t>
      </w:r>
      <w:r>
        <w:rPr>
          <w:rFonts w:hint="eastAsia" w:ascii="仿宋_GB2312" w:hAnsi="仿宋_GB2312" w:eastAsia="仿宋_GB2312" w:cs="仿宋_GB2312"/>
          <w:lang w:val="en-US" w:eastAsia="zh-CN"/>
        </w:rPr>
        <w:t>”。</w:t>
      </w:r>
    </w:p>
    <w:p w14:paraId="34C33E62">
      <w:pPr>
        <w:pStyle w:val="3"/>
        <w:numPr>
          <w:ilvl w:val="0"/>
          <w:numId w:val="0"/>
        </w:numPr>
        <w:spacing w:line="660" w:lineRule="exact"/>
        <w:ind w:right="125" w:rightChars="0" w:firstLine="480" w:firstLineChars="150"/>
        <w:rPr>
          <w:rFonts w:hint="eastAsia" w:ascii="楷体" w:hAnsi="楷体" w:eastAsia="楷体" w:cs="楷体"/>
        </w:rPr>
      </w:pPr>
      <w:r>
        <w:rPr>
          <w:rFonts w:hint="eastAsia" w:ascii="楷体" w:hAnsi="楷体" w:eastAsia="楷体" w:cs="楷体"/>
        </w:rPr>
        <w:t>（二）非现场评价情况分析</w:t>
      </w:r>
    </w:p>
    <w:p w14:paraId="23058F1F">
      <w:pPr>
        <w:pStyle w:val="3"/>
        <w:numPr>
          <w:ilvl w:val="0"/>
          <w:numId w:val="0"/>
        </w:numPr>
        <w:spacing w:line="660" w:lineRule="exact"/>
        <w:ind w:right="125" w:rightChars="0" w:firstLine="640" w:firstLineChars="200"/>
        <w:jc w:val="both"/>
        <w:rPr>
          <w:rFonts w:hint="eastAsia" w:ascii="Times New Roman" w:hAnsi="Times New Roman" w:eastAsia="仿宋_GB2312" w:cs="Times New Roman"/>
        </w:rPr>
      </w:pPr>
      <w:r>
        <w:rPr>
          <w:rFonts w:hint="eastAsia" w:ascii="Times New Roman" w:hAnsi="Times New Roman" w:eastAsia="仿宋_GB2312" w:cs="Times New Roman"/>
          <w:lang w:val="en-US" w:eastAsia="zh-CN"/>
        </w:rPr>
        <w:t>通过查阅财政年初预算批复资料，掌握项目当年预算资金，了解资金管理情况</w:t>
      </w:r>
      <w:r>
        <w:rPr>
          <w:rFonts w:hint="default" w:ascii="Times New Roman" w:hAnsi="Times New Roman" w:eastAsia="仿宋_GB2312" w:cs="Times New Roman"/>
          <w:lang w:eastAsia="zh-CN"/>
        </w:rPr>
        <w:t>，实施处室电子文件管理处根据纸质档案数字化成果移交清单进行验收，将相关材料汇报领导审批，办公室（财务）按项目完工实际数量及金额做支付</w:t>
      </w:r>
      <w:r>
        <w:rPr>
          <w:rFonts w:hint="eastAsia" w:ascii="Times New Roman" w:hAnsi="Times New Roman" w:eastAsia="仿宋_GB2312" w:cs="Times New Roman"/>
          <w:lang w:val="en-US" w:eastAsia="zh-CN"/>
        </w:rPr>
        <w:t>。</w:t>
      </w:r>
    </w:p>
    <w:p w14:paraId="5AE69D00">
      <w:pPr>
        <w:pStyle w:val="3"/>
        <w:numPr>
          <w:ilvl w:val="0"/>
          <w:numId w:val="0"/>
        </w:numPr>
        <w:spacing w:line="660" w:lineRule="exact"/>
        <w:ind w:right="125" w:rightChars="0" w:firstLine="320" w:firstLineChars="100"/>
        <w:rPr>
          <w:rFonts w:hint="eastAsia" w:ascii="楷体" w:hAnsi="楷体" w:eastAsia="楷体" w:cs="楷体"/>
        </w:rPr>
      </w:pPr>
      <w:r>
        <w:rPr>
          <w:rFonts w:hint="eastAsia" w:ascii="楷体" w:hAnsi="楷体" w:eastAsia="楷体" w:cs="楷体"/>
        </w:rPr>
        <w:t>（三）现场评价情况分析</w:t>
      </w:r>
    </w:p>
    <w:p w14:paraId="60E41D79">
      <w:pPr>
        <w:pStyle w:val="3"/>
        <w:numPr>
          <w:ilvl w:val="0"/>
          <w:numId w:val="0"/>
        </w:numPr>
        <w:spacing w:line="660" w:lineRule="exact"/>
        <w:ind w:right="125" w:rightChars="0" w:firstLine="640"/>
        <w:rPr>
          <w:rFonts w:hint="default" w:ascii="Times New Roman" w:hAnsi="Times New Roman" w:eastAsia="仿宋_GB2312" w:cs="Times New Roman"/>
        </w:rPr>
      </w:pPr>
      <w:r>
        <w:rPr>
          <w:rFonts w:hint="eastAsia" w:ascii="Times New Roman" w:hAnsi="Times New Roman" w:eastAsia="仿宋_GB2312" w:cs="Times New Roman"/>
          <w:lang w:val="en-US" w:eastAsia="zh-CN"/>
        </w:rPr>
        <w:t>实地调研档案资料数字化加工现场，查看档案数字化转化清晰度、施工进度、时效。</w:t>
      </w:r>
    </w:p>
    <w:p w14:paraId="4693CE6A">
      <w:pPr>
        <w:pStyle w:val="3"/>
        <w:numPr>
          <w:ilvl w:val="0"/>
          <w:numId w:val="0"/>
        </w:numPr>
        <w:spacing w:line="660" w:lineRule="exact"/>
        <w:ind w:right="125" w:rightChars="0" w:firstLine="480" w:firstLineChars="150"/>
        <w:rPr>
          <w:rFonts w:hint="eastAsia" w:ascii="楷体" w:hAnsi="楷体" w:eastAsia="楷体" w:cs="楷体"/>
        </w:rPr>
      </w:pPr>
      <w:r>
        <w:rPr>
          <w:rFonts w:hint="eastAsia" w:ascii="楷体" w:hAnsi="楷体" w:eastAsia="楷体" w:cs="楷体"/>
        </w:rPr>
        <w:t>（四）分项目、单位或市县评价得分及结论</w:t>
      </w:r>
    </w:p>
    <w:p w14:paraId="13047225">
      <w:pPr>
        <w:pStyle w:val="3"/>
        <w:spacing w:line="660" w:lineRule="exact"/>
        <w:ind w:left="111" w:right="125" w:firstLine="6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馆藏档案数字化就加工，为档案借阅使用提供了便利，进一步对馆藏档案进行了保护，也为查阅档案工作人员、社会公众节约了时间成本，受到公众好评。</w:t>
      </w:r>
      <w:r>
        <w:rPr>
          <w:rFonts w:hint="eastAsia" w:ascii="仿宋_GB2312" w:hAnsi="仿宋_GB2312" w:eastAsia="仿宋_GB2312" w:cs="仿宋_GB2312"/>
          <w:lang w:eastAsia="zh-CN"/>
        </w:rPr>
        <w:t>该项目自评得分99.</w:t>
      </w:r>
      <w:r>
        <w:rPr>
          <w:rFonts w:hint="default" w:ascii="仿宋_GB2312" w:hAnsi="仿宋_GB2312" w:eastAsia="仿宋_GB2312" w:cs="仿宋_GB2312"/>
          <w:lang w:eastAsia="zh-CN"/>
        </w:rPr>
        <w:t>69</w:t>
      </w:r>
      <w:r>
        <w:rPr>
          <w:rFonts w:hint="eastAsia" w:ascii="仿宋_GB2312" w:hAnsi="仿宋_GB2312" w:eastAsia="仿宋_GB2312" w:cs="仿宋_GB2312"/>
          <w:lang w:eastAsia="zh-CN"/>
        </w:rPr>
        <w:t>分</w:t>
      </w:r>
      <w:r>
        <w:rPr>
          <w:rFonts w:hint="eastAsia" w:ascii="仿宋_GB2312" w:hAnsi="仿宋_GB2312" w:eastAsia="仿宋_GB2312" w:cs="仿宋_GB2312"/>
          <w:lang w:val="en-US" w:eastAsia="zh-CN"/>
        </w:rPr>
        <w:t>。</w:t>
      </w:r>
    </w:p>
    <w:p w14:paraId="5A3C644A">
      <w:pPr>
        <w:pStyle w:val="3"/>
        <w:keepNext w:val="0"/>
        <w:keepLines w:val="0"/>
        <w:pageBreakBefore w:val="0"/>
        <w:widowControl w:val="0"/>
        <w:kinsoku/>
        <w:wordWrap/>
        <w:overflowPunct/>
        <w:topLinePunct w:val="0"/>
        <w:autoSpaceDE/>
        <w:autoSpaceDN/>
        <w:bidi w:val="0"/>
        <w:adjustRightInd/>
        <w:snapToGrid/>
        <w:spacing w:line="600" w:lineRule="exact"/>
        <w:ind w:left="753"/>
        <w:textAlignment w:val="auto"/>
        <w:rPr>
          <w:rFonts w:hint="default" w:ascii="黑体" w:eastAsia="黑体"/>
        </w:rPr>
      </w:pPr>
      <w:r>
        <w:rPr>
          <w:rFonts w:hint="eastAsia" w:ascii="黑体" w:eastAsia="黑体"/>
        </w:rPr>
        <w:t>五、绩效评价指标分析</w:t>
      </w:r>
    </w:p>
    <w:p w14:paraId="5199451C">
      <w:pPr>
        <w:pStyle w:val="3"/>
        <w:spacing w:line="660" w:lineRule="exact"/>
        <w:ind w:left="111" w:right="125" w:firstLine="639"/>
        <w:rPr>
          <w:rFonts w:hint="eastAsia" w:ascii="楷体" w:hAnsi="楷体" w:eastAsia="楷体" w:cs="楷体"/>
        </w:rPr>
      </w:pPr>
      <w:r>
        <w:rPr>
          <w:rFonts w:hint="eastAsia" w:ascii="楷体" w:hAnsi="楷体" w:eastAsia="楷体" w:cs="楷体"/>
        </w:rPr>
        <w:t>（一）项目决策情况</w:t>
      </w:r>
    </w:p>
    <w:p w14:paraId="6A7E7902">
      <w:pPr>
        <w:pStyle w:val="3"/>
        <w:numPr>
          <w:ilvl w:val="0"/>
          <w:numId w:val="0"/>
        </w:numPr>
        <w:spacing w:line="660" w:lineRule="exact"/>
        <w:ind w:left="750" w:leftChars="0" w:right="125" w:righ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28</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第8次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研究决定，同意组织实</w:t>
      </w:r>
    </w:p>
    <w:p w14:paraId="5ED11841">
      <w:pPr>
        <w:pStyle w:val="3"/>
        <w:numPr>
          <w:ilvl w:val="0"/>
          <w:numId w:val="0"/>
        </w:numPr>
        <w:spacing w:line="660" w:lineRule="exact"/>
        <w:ind w:right="125" w:rightChars="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及监理项目</w:t>
      </w:r>
      <w:r>
        <w:rPr>
          <w:rFonts w:hint="eastAsia" w:ascii="仿宋_GB2312" w:hAnsi="仿宋_GB2312" w:eastAsia="仿宋_GB2312" w:cs="仿宋_GB2312"/>
          <w:sz w:val="32"/>
          <w:szCs w:val="32"/>
          <w:lang w:val="en-US" w:eastAsia="zh-CN"/>
        </w:rPr>
        <w:t>，要求电子文件管理处</w:t>
      </w:r>
      <w:r>
        <w:rPr>
          <w:rFonts w:hint="default" w:ascii="仿宋_GB2312" w:hAnsi="仿宋_GB2312" w:eastAsia="仿宋_GB2312" w:cs="仿宋_GB2312"/>
          <w:sz w:val="32"/>
          <w:szCs w:val="32"/>
          <w:lang w:eastAsia="zh-CN"/>
        </w:rPr>
        <w:t>严格按照相关规定做好招标采购工作，加快工作进度，确保项目质量。</w:t>
      </w:r>
    </w:p>
    <w:p w14:paraId="2625DDAD">
      <w:pPr>
        <w:pStyle w:val="3"/>
        <w:numPr>
          <w:ilvl w:val="0"/>
          <w:numId w:val="0"/>
        </w:numPr>
        <w:spacing w:line="660" w:lineRule="exact"/>
        <w:ind w:right="125" w:rightChars="0" w:firstLine="640" w:firstLineChars="200"/>
        <w:rPr>
          <w:rFonts w:hint="eastAsia" w:ascii="楷体" w:hAnsi="楷体" w:eastAsia="楷体" w:cs="楷体"/>
        </w:rPr>
      </w:pPr>
      <w:r>
        <w:rPr>
          <w:rFonts w:hint="default" w:ascii="楷体" w:hAnsi="楷体" w:eastAsia="楷体" w:cs="楷体"/>
        </w:rPr>
        <w:t>（二）</w:t>
      </w:r>
      <w:r>
        <w:rPr>
          <w:rFonts w:hint="eastAsia" w:ascii="楷体" w:hAnsi="楷体" w:eastAsia="楷体" w:cs="楷体"/>
        </w:rPr>
        <w:t>项目过程情况</w:t>
      </w:r>
    </w:p>
    <w:p w14:paraId="19163651">
      <w:pPr>
        <w:pStyle w:val="3"/>
        <w:numPr>
          <w:ilvl w:val="0"/>
          <w:numId w:val="0"/>
        </w:numPr>
        <w:spacing w:line="660" w:lineRule="exact"/>
        <w:ind w:right="125" w:rightChars="0"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采购方式是“单一来源”，</w:t>
      </w:r>
      <w:r>
        <w:rPr>
          <w:rFonts w:hint="eastAsia" w:ascii="仿宋_GB2312" w:hAnsi="仿宋_GB2312" w:eastAsia="仿宋_GB2312" w:cs="仿宋_GB2312"/>
        </w:rPr>
        <w:t>甘肃省档案装具标准化管理中心为项目建设中标方，中标价格预估</w:t>
      </w:r>
      <w:r>
        <w:rPr>
          <w:rFonts w:hint="default" w:ascii="仿宋_GB2312" w:hAnsi="仿宋_GB2312" w:eastAsia="仿宋_GB2312" w:cs="仿宋_GB2312"/>
        </w:rPr>
        <w:t>98.93</w:t>
      </w:r>
      <w:r>
        <w:rPr>
          <w:rFonts w:hint="eastAsia" w:ascii="仿宋_GB2312" w:hAnsi="仿宋_GB2312" w:eastAsia="仿宋_GB2312" w:cs="仿宋_GB2312"/>
        </w:rPr>
        <w:t>万元，会议要求项目实施处室与施工方加强沟通，明确标准要求，确保项目按期完成。</w:t>
      </w:r>
      <w:r>
        <w:rPr>
          <w:rFonts w:hint="default" w:ascii="仿宋_GB2312" w:hAnsi="仿宋_GB2312" w:eastAsia="仿宋_GB2312" w:cs="仿宋_GB2312"/>
        </w:rPr>
        <w:t>9</w:t>
      </w:r>
      <w:r>
        <w:rPr>
          <w:rFonts w:hint="eastAsia" w:ascii="仿宋_GB2312" w:hAnsi="仿宋_GB2312" w:eastAsia="仿宋_GB2312" w:cs="仿宋_GB2312"/>
        </w:rPr>
        <w:t>月2</w:t>
      </w:r>
      <w:r>
        <w:rPr>
          <w:rFonts w:hint="default" w:ascii="仿宋_GB2312" w:hAnsi="仿宋_GB2312" w:eastAsia="仿宋_GB2312" w:cs="仿宋_GB2312"/>
        </w:rPr>
        <w:t>2</w:t>
      </w:r>
      <w:r>
        <w:rPr>
          <w:rFonts w:hint="eastAsia" w:ascii="仿宋_GB2312" w:hAnsi="仿宋_GB2312" w:eastAsia="仿宋_GB2312" w:cs="仿宋_GB2312"/>
        </w:rPr>
        <w:t>日进行竣工验收，通过验收，按合同约定据实结算，共支付</w:t>
      </w:r>
      <w:r>
        <w:rPr>
          <w:rFonts w:hint="default" w:ascii="仿宋_GB2312" w:hAnsi="仿宋_GB2312" w:eastAsia="仿宋_GB2312" w:cs="仿宋_GB2312"/>
        </w:rPr>
        <w:t>99.49</w:t>
      </w:r>
      <w:r>
        <w:rPr>
          <w:rFonts w:hint="eastAsia" w:ascii="仿宋_GB2312" w:hAnsi="仿宋_GB2312" w:eastAsia="仿宋_GB2312" w:cs="仿宋_GB2312"/>
        </w:rPr>
        <w:t>万元</w:t>
      </w:r>
      <w:r>
        <w:rPr>
          <w:rFonts w:hint="default" w:ascii="仿宋_GB2312" w:hAnsi="仿宋_GB2312" w:eastAsia="仿宋_GB2312" w:cs="仿宋_GB2312"/>
        </w:rPr>
        <w:t>，</w:t>
      </w:r>
      <w:r>
        <w:rPr>
          <w:rFonts w:hint="eastAsia" w:ascii="仿宋_GB2312" w:hAnsi="仿宋_GB2312" w:eastAsia="仿宋_GB2312" w:cs="仿宋_GB2312"/>
        </w:rPr>
        <w:t>截止12月31日该项目预算执行进度</w:t>
      </w:r>
      <w:r>
        <w:rPr>
          <w:rFonts w:hint="default" w:ascii="仿宋_GB2312" w:hAnsi="仿宋_GB2312" w:eastAsia="仿宋_GB2312" w:cs="仿宋_GB2312"/>
        </w:rPr>
        <w:t>100</w:t>
      </w:r>
      <w:r>
        <w:rPr>
          <w:rFonts w:hint="eastAsia" w:ascii="仿宋_GB2312" w:hAnsi="仿宋_GB2312" w:eastAsia="仿宋_GB2312" w:cs="仿宋_GB2312"/>
        </w:rPr>
        <w:t>%。</w:t>
      </w:r>
    </w:p>
    <w:p w14:paraId="177E9533">
      <w:pPr>
        <w:pStyle w:val="3"/>
        <w:numPr>
          <w:ilvl w:val="0"/>
          <w:numId w:val="0"/>
        </w:numPr>
        <w:spacing w:line="660" w:lineRule="exact"/>
        <w:ind w:right="125" w:rightChars="0" w:firstLine="640" w:firstLineChars="200"/>
        <w:rPr>
          <w:rFonts w:hint="eastAsia" w:ascii="楷体" w:hAnsi="楷体" w:eastAsia="楷体" w:cs="楷体"/>
        </w:rPr>
      </w:pPr>
      <w:r>
        <w:rPr>
          <w:rFonts w:hint="default" w:ascii="楷体" w:hAnsi="楷体" w:eastAsia="楷体" w:cs="楷体"/>
        </w:rPr>
        <w:t>（三）</w:t>
      </w:r>
      <w:r>
        <w:rPr>
          <w:rFonts w:hint="eastAsia" w:ascii="楷体" w:hAnsi="楷体" w:eastAsia="楷体" w:cs="楷体"/>
        </w:rPr>
        <w:t>项目产出情况</w:t>
      </w:r>
    </w:p>
    <w:p w14:paraId="12BDD518">
      <w:pPr>
        <w:pStyle w:val="3"/>
        <w:numPr>
          <w:ilvl w:val="0"/>
          <w:numId w:val="0"/>
        </w:numPr>
        <w:spacing w:line="660" w:lineRule="exact"/>
        <w:ind w:left="750" w:leftChars="0" w:right="125" w:right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馆藏档案数字化未完工时难以衡量其产出情况，原因是</w:t>
      </w:r>
    </w:p>
    <w:p w14:paraId="028FE6CF">
      <w:pPr>
        <w:pStyle w:val="3"/>
        <w:numPr>
          <w:ilvl w:val="0"/>
          <w:numId w:val="0"/>
        </w:numPr>
        <w:spacing w:line="660" w:lineRule="exact"/>
        <w:ind w:right="125" w:rightChars="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馆藏数字化项目的具体任务数量只能预估范围，无法精确具体数量，在项目完成后才能够最终确定完成产出的任务量。</w:t>
      </w:r>
      <w:r>
        <w:rPr>
          <w:rFonts w:hint="eastAsia" w:ascii="仿宋_GB2312" w:hAnsi="仿宋_GB2312" w:eastAsia="仿宋_GB2312" w:cs="仿宋_GB2312"/>
          <w:lang w:eastAsia="zh-CN"/>
        </w:rPr>
        <w:t>202</w:t>
      </w:r>
      <w:r>
        <w:rPr>
          <w:rFonts w:hint="default" w:ascii="仿宋_GB2312" w:hAnsi="仿宋_GB2312" w:eastAsia="仿宋_GB2312" w:cs="仿宋_GB2312"/>
          <w:lang w:eastAsia="zh-CN"/>
        </w:rPr>
        <w:t>3</w:t>
      </w:r>
      <w:r>
        <w:rPr>
          <w:rFonts w:hint="eastAsia" w:ascii="仿宋_GB2312" w:hAnsi="仿宋_GB2312" w:eastAsia="仿宋_GB2312" w:cs="仿宋_GB2312"/>
          <w:lang w:eastAsia="zh-CN"/>
        </w:rPr>
        <w:t>年甘肃省档案馆馆藏数字化项目实际完工图像数量</w:t>
      </w:r>
      <w:r>
        <w:rPr>
          <w:rFonts w:hint="eastAsia" w:ascii="仿宋_GB2312" w:hAnsi="仿宋_GB2312" w:eastAsia="仿宋_GB2312" w:cs="仿宋_GB2312"/>
          <w:sz w:val="32"/>
          <w:szCs w:val="32"/>
          <w:lang w:val="en-US" w:eastAsia="zh-CN"/>
        </w:rPr>
        <w:t>154.16万画幅</w:t>
      </w:r>
      <w:r>
        <w:rPr>
          <w:rFonts w:hint="eastAsia" w:ascii="仿宋_GB2312" w:hAnsi="仿宋_GB2312" w:eastAsia="仿宋_GB2312" w:cs="仿宋_GB2312"/>
          <w:lang w:eastAsia="zh-CN"/>
        </w:rPr>
        <w:t>，目录著录</w:t>
      </w:r>
      <w:r>
        <w:rPr>
          <w:rFonts w:hint="default" w:ascii="仿宋_GB2312" w:hAnsi="仿宋_GB2312" w:eastAsia="仿宋_GB2312" w:cs="仿宋_GB2312"/>
          <w:lang w:eastAsia="zh-CN"/>
        </w:rPr>
        <w:t>11.76</w:t>
      </w:r>
      <w:r>
        <w:rPr>
          <w:rFonts w:hint="eastAsia" w:ascii="仿宋_GB2312" w:hAnsi="仿宋_GB2312" w:eastAsia="仿宋_GB2312" w:cs="仿宋_GB2312"/>
          <w:lang w:eastAsia="zh-CN"/>
        </w:rPr>
        <w:t>万条。</w:t>
      </w:r>
    </w:p>
    <w:p w14:paraId="1507EFB4">
      <w:pPr>
        <w:pStyle w:val="3"/>
        <w:numPr>
          <w:ilvl w:val="0"/>
          <w:numId w:val="0"/>
        </w:numPr>
        <w:spacing w:line="660" w:lineRule="exact"/>
        <w:ind w:right="125" w:rightChars="0" w:firstLine="640" w:firstLineChars="200"/>
        <w:rPr>
          <w:rFonts w:hint="eastAsia" w:ascii="楷体" w:hAnsi="楷体" w:eastAsia="楷体" w:cs="楷体"/>
        </w:rPr>
      </w:pPr>
      <w:r>
        <w:rPr>
          <w:rFonts w:hint="default" w:ascii="楷体" w:hAnsi="楷体" w:eastAsia="楷体" w:cs="楷体"/>
        </w:rPr>
        <w:t>（四）</w:t>
      </w:r>
      <w:r>
        <w:rPr>
          <w:rFonts w:hint="eastAsia" w:ascii="楷体" w:hAnsi="楷体" w:eastAsia="楷体" w:cs="楷体"/>
        </w:rPr>
        <w:t>项目效益情况</w:t>
      </w:r>
    </w:p>
    <w:p w14:paraId="626DFF8D">
      <w:pPr>
        <w:pStyle w:val="3"/>
        <w:spacing w:line="660" w:lineRule="exact"/>
        <w:ind w:left="111" w:right="125" w:firstLine="639"/>
        <w:rPr>
          <w:rFonts w:hint="default" w:ascii="Times New Roman" w:hAnsi="Times New Roman" w:eastAsia="仿宋_GB2312" w:cs="Times New Roman"/>
        </w:rPr>
      </w:pPr>
      <w:r>
        <w:rPr>
          <w:rFonts w:hint="eastAsia" w:ascii="仿宋_GB2312" w:hAnsi="Times New Roman" w:eastAsia="仿宋_GB2312" w:cs="Times New Roman"/>
          <w:lang w:eastAsia="zh-CN"/>
        </w:rPr>
        <w:t>档案数字化建设项目主要</w:t>
      </w:r>
      <w:r>
        <w:rPr>
          <w:rFonts w:hint="eastAsia" w:ascii="仿宋_GB2312" w:hAnsi="Times New Roman" w:eastAsia="仿宋_GB2312" w:cs="Times New Roman"/>
        </w:rPr>
        <w:t>为党政机关和人民群众提供查档便利。此项工作本身不直接产生经济效益。</w:t>
      </w:r>
    </w:p>
    <w:p w14:paraId="5919F8B1">
      <w:pPr>
        <w:pStyle w:val="3"/>
        <w:numPr>
          <w:ilvl w:val="0"/>
          <w:numId w:val="0"/>
        </w:numPr>
        <w:spacing w:line="660" w:lineRule="exact"/>
        <w:ind w:left="753" w:leftChars="0"/>
        <w:rPr>
          <w:rFonts w:hint="eastAsia" w:ascii="黑体" w:eastAsia="黑体"/>
        </w:rPr>
      </w:pPr>
      <w:r>
        <w:rPr>
          <w:rFonts w:hint="default" w:ascii="黑体" w:eastAsia="黑体"/>
        </w:rPr>
        <w:t>六、</w:t>
      </w:r>
      <w:r>
        <w:rPr>
          <w:rFonts w:hint="eastAsia" w:ascii="黑体" w:eastAsia="黑体"/>
        </w:rPr>
        <w:t>项目主要经验及做法</w:t>
      </w:r>
    </w:p>
    <w:p w14:paraId="409CA0F9">
      <w:pPr>
        <w:pStyle w:val="3"/>
        <w:spacing w:line="660" w:lineRule="exact"/>
        <w:ind w:left="111" w:right="125" w:firstLine="639"/>
        <w:rPr>
          <w:rFonts w:hint="eastAsia" w:ascii="仿宋_GB2312" w:hAnsi="仿宋_GB2312" w:eastAsia="仿宋_GB2312" w:cs="仿宋_GB2312"/>
        </w:rPr>
      </w:pPr>
      <w:r>
        <w:rPr>
          <w:rFonts w:hint="eastAsia" w:ascii="仿宋_GB2312" w:hAnsi="仿宋_GB2312" w:eastAsia="仿宋_GB2312" w:cs="仿宋_GB2312"/>
        </w:rPr>
        <w:t>按照国家档案局制定的《国家档案局纸质档案数字化规范 DA/T 31—2017》和甘肃省档案局制定的《甘肃省纸质档案数字化操作规范（试行）》，实施馆藏档案数字化</w:t>
      </w:r>
      <w:r>
        <w:rPr>
          <w:rFonts w:hint="eastAsia" w:ascii="仿宋_GB2312" w:hAnsi="仿宋_GB2312" w:eastAsia="仿宋_GB2312" w:cs="仿宋_GB2312"/>
          <w:lang w:eastAsia="zh-CN"/>
        </w:rPr>
        <w:t>。</w:t>
      </w:r>
    </w:p>
    <w:p w14:paraId="3A04BD80">
      <w:pPr>
        <w:pStyle w:val="3"/>
        <w:numPr>
          <w:ilvl w:val="0"/>
          <w:numId w:val="0"/>
        </w:numPr>
        <w:spacing w:line="660" w:lineRule="exact"/>
        <w:ind w:left="753" w:leftChars="0"/>
        <w:rPr>
          <w:rFonts w:hint="eastAsia" w:ascii="黑体" w:eastAsia="黑体"/>
        </w:rPr>
      </w:pPr>
      <w:r>
        <w:rPr>
          <w:rFonts w:hint="default" w:ascii="黑体" w:eastAsia="黑体"/>
        </w:rPr>
        <w:t>七、</w:t>
      </w:r>
      <w:r>
        <w:rPr>
          <w:rFonts w:hint="eastAsia" w:ascii="黑体" w:eastAsia="黑体"/>
        </w:rPr>
        <w:t>存在的问题及原因分析</w:t>
      </w:r>
    </w:p>
    <w:p w14:paraId="2E6122FB">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1、</w:t>
      </w:r>
      <w:r>
        <w:rPr>
          <w:rFonts w:hint="eastAsia" w:ascii="仿宋_GB2312" w:hAnsi="Times New Roman" w:eastAsia="仿宋_GB2312" w:cs="Times New Roman"/>
        </w:rPr>
        <w:t>项目产出方面存在的问题</w:t>
      </w:r>
      <w:r>
        <w:rPr>
          <w:rFonts w:hint="eastAsia" w:ascii="仿宋_GB2312" w:hAnsi="Times New Roman" w:eastAsia="仿宋_GB2312" w:cs="Times New Roman"/>
          <w:lang w:eastAsia="zh-CN"/>
        </w:rPr>
        <w:t>及原因</w:t>
      </w:r>
    </w:p>
    <w:p w14:paraId="7039B886">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w:t>
      </w:r>
    </w:p>
    <w:p w14:paraId="6F6738F1">
      <w:pPr>
        <w:pStyle w:val="3"/>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2、</w:t>
      </w:r>
      <w:r>
        <w:rPr>
          <w:rFonts w:hint="eastAsia" w:ascii="仿宋_GB2312" w:hAnsi="Times New Roman" w:eastAsia="仿宋_GB2312" w:cs="Times New Roman"/>
        </w:rPr>
        <w:t>项目效益方面存在的问题</w:t>
      </w:r>
      <w:r>
        <w:rPr>
          <w:rFonts w:hint="eastAsia" w:ascii="仿宋_GB2312" w:hAnsi="Times New Roman" w:eastAsia="仿宋_GB2312" w:cs="Times New Roman"/>
          <w:lang w:eastAsia="zh-CN"/>
        </w:rPr>
        <w:t>及原因</w:t>
      </w:r>
    </w:p>
    <w:p w14:paraId="78DF6768">
      <w:pPr>
        <w:pStyle w:val="3"/>
        <w:spacing w:line="660" w:lineRule="exact"/>
        <w:ind w:left="111" w:right="125" w:firstLine="639"/>
        <w:rPr>
          <w:rFonts w:hint="eastAsia" w:ascii="黑体" w:eastAsia="黑体"/>
        </w:rPr>
      </w:pPr>
      <w:r>
        <w:rPr>
          <w:rFonts w:hint="eastAsia" w:ascii="仿宋_GB2312" w:hAnsi="Times New Roman" w:eastAsia="仿宋_GB2312" w:cs="Times New Roman"/>
        </w:rPr>
        <w:t>档案数字化主要实现社会效益为主，为党政机关和人民群众提供查档便利，同时保护档案原件。此项工作本身不直接产生经济效益。</w:t>
      </w:r>
    </w:p>
    <w:p w14:paraId="2C225057">
      <w:pPr>
        <w:pStyle w:val="3"/>
        <w:numPr>
          <w:ilvl w:val="0"/>
          <w:numId w:val="0"/>
        </w:numPr>
        <w:spacing w:line="660" w:lineRule="exact"/>
        <w:ind w:left="753" w:leftChars="0"/>
        <w:rPr>
          <w:rFonts w:hint="default" w:ascii="黑体" w:eastAsia="黑体"/>
        </w:rPr>
      </w:pPr>
      <w:r>
        <w:rPr>
          <w:rFonts w:hint="eastAsia" w:ascii="黑体" w:eastAsia="黑体"/>
        </w:rPr>
        <w:t>八、有关建议</w:t>
      </w:r>
    </w:p>
    <w:p w14:paraId="11F66FBE">
      <w:pPr>
        <w:pStyle w:val="3"/>
        <w:spacing w:line="660" w:lineRule="exact"/>
        <w:ind w:left="111" w:right="125" w:firstLine="1292" w:firstLineChars="404"/>
        <w:rPr>
          <w:rFonts w:hint="default" w:ascii="仿宋_GB2312" w:hAnsi="Times New Roman" w:eastAsia="仿宋_GB2312" w:cs="Times New Roman"/>
        </w:rPr>
      </w:pPr>
      <w:r>
        <w:rPr>
          <w:rFonts w:hint="default" w:ascii="仿宋_GB2312" w:hAnsi="Times New Roman" w:eastAsia="仿宋_GB2312" w:cs="Times New Roman"/>
        </w:rPr>
        <w:t>无</w:t>
      </w:r>
    </w:p>
    <w:p w14:paraId="3606E774">
      <w:pPr>
        <w:pStyle w:val="3"/>
        <w:numPr>
          <w:ilvl w:val="0"/>
          <w:numId w:val="0"/>
        </w:numPr>
        <w:spacing w:line="660" w:lineRule="exact"/>
        <w:ind w:left="753" w:leftChars="0"/>
        <w:rPr>
          <w:rFonts w:hint="eastAsia" w:ascii="黑体" w:eastAsia="黑体"/>
        </w:rPr>
      </w:pPr>
      <w:r>
        <w:rPr>
          <w:rFonts w:hint="eastAsia" w:ascii="黑体" w:eastAsia="黑体"/>
        </w:rPr>
        <w:t>九、需要说明的问题</w:t>
      </w:r>
    </w:p>
    <w:p w14:paraId="702617D7">
      <w:pPr>
        <w:pStyle w:val="3"/>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rPr>
        <w:t xml:space="preserve">    </w:t>
      </w:r>
      <w:r>
        <w:rPr>
          <w:rFonts w:hint="eastAsia" w:ascii="仿宋_GB2312" w:hAnsi="Times New Roman" w:eastAsia="仿宋_GB2312" w:cs="Times New Roman"/>
          <w:lang w:eastAsia="zh-CN"/>
        </w:rPr>
        <w:t>无</w:t>
      </w:r>
      <w:r>
        <w:rPr>
          <w:rFonts w:hint="eastAsia" w:ascii="仿宋_GB2312" w:hAnsi="Times New Roman" w:eastAsia="仿宋_GB2312" w:cs="Times New Roman"/>
        </w:rPr>
        <w:t xml:space="preserve">   </w:t>
      </w:r>
    </w:p>
    <w:p w14:paraId="02A9BA82">
      <w:pPr>
        <w:pStyle w:val="3"/>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rPr>
        <w:t xml:space="preserve">                </w:t>
      </w:r>
    </w:p>
    <w:p w14:paraId="7D5FD2E9">
      <w:pPr>
        <w:pStyle w:val="3"/>
        <w:spacing w:line="660" w:lineRule="exact"/>
        <w:ind w:left="1485" w:leftChars="250" w:right="125" w:hanging="960" w:hangingChars="300"/>
        <w:rPr>
          <w:rFonts w:ascii="仿宋_GB2312" w:hAnsi="Times New Roman" w:eastAsia="仿宋_GB2312" w:cs="Times New Roman"/>
        </w:rPr>
      </w:pPr>
      <w:r>
        <w:rPr>
          <w:rFonts w:hint="eastAsia" w:ascii="仿宋_GB2312" w:hAnsi="Times New Roman" w:eastAsia="仿宋_GB2312" w:cs="Times New Roman"/>
        </w:rPr>
        <w:t>附</w:t>
      </w:r>
      <w:r>
        <w:rPr>
          <w:rFonts w:hint="default" w:ascii="仿宋_GB2312" w:hAnsi="Times New Roman" w:eastAsia="仿宋_GB2312" w:cs="Times New Roman"/>
        </w:rPr>
        <w:t>件</w:t>
      </w:r>
      <w:r>
        <w:rPr>
          <w:rFonts w:hint="eastAsia" w:ascii="仿宋_GB2312" w:hAnsi="Times New Roman" w:eastAsia="仿宋_GB2312" w:cs="Times New Roman"/>
        </w:rPr>
        <w:t>：</w:t>
      </w:r>
      <w:r>
        <w:rPr>
          <w:rFonts w:ascii="仿宋_GB2312" w:hAnsi="Times New Roman" w:eastAsia="仿宋_GB2312" w:cs="Times New Roman"/>
        </w:rPr>
        <w:t>1</w:t>
      </w:r>
      <w:r>
        <w:rPr>
          <w:rFonts w:hint="eastAsia" w:ascii="仿宋_GB2312" w:hAnsi="Times New Roman" w:eastAsia="仿宋_GB2312" w:cs="Times New Roman"/>
        </w:rPr>
        <w:t>.项目支出绩效评价得分表（包括非现场评价、现场评价及综合评价）</w:t>
      </w:r>
    </w:p>
    <w:p w14:paraId="2D3E3A26">
      <w:pPr>
        <w:pStyle w:val="3"/>
        <w:spacing w:line="660" w:lineRule="exact"/>
        <w:ind w:right="125" w:firstLine="1440" w:firstLineChars="450"/>
        <w:rPr>
          <w:rFonts w:ascii="仿宋_GB2312" w:hAnsi="Times New Roman" w:eastAsia="仿宋_GB2312" w:cs="Times New Roman"/>
        </w:rPr>
      </w:pPr>
      <w:r>
        <w:rPr>
          <w:rFonts w:ascii="仿宋_GB2312" w:hAnsi="Times New Roman" w:eastAsia="仿宋_GB2312" w:cs="Times New Roman"/>
        </w:rPr>
        <w:t>2</w:t>
      </w:r>
      <w:r>
        <w:rPr>
          <w:rFonts w:hint="eastAsia" w:ascii="仿宋_GB2312" w:hAnsi="Times New Roman" w:eastAsia="仿宋_GB2312" w:cs="Times New Roman"/>
        </w:rPr>
        <w:t>.项目问题清单</w:t>
      </w:r>
    </w:p>
    <w:p w14:paraId="7CB048B7">
      <w:pPr>
        <w:spacing w:line="680" w:lineRule="exact"/>
      </w:pPr>
    </w:p>
    <w:p w14:paraId="112FFB02">
      <w:pPr>
        <w:spacing w:line="680" w:lineRule="exact"/>
      </w:pPr>
    </w:p>
    <w:p w14:paraId="1CD6CAB8">
      <w:pPr>
        <w:spacing w:line="680" w:lineRule="exact"/>
        <w:sectPr>
          <w:pgSz w:w="11910" w:h="16840"/>
          <w:pgMar w:top="1701" w:right="1701" w:bottom="1701" w:left="1701" w:header="0" w:footer="1134" w:gutter="0"/>
          <w:pgNumType w:fmt="decimal"/>
          <w:cols w:space="720" w:num="1"/>
        </w:sectPr>
      </w:pPr>
    </w:p>
    <w:tbl>
      <w:tblPr>
        <w:tblStyle w:val="9"/>
        <w:tblW w:w="14233" w:type="dxa"/>
        <w:tblInd w:w="0" w:type="dxa"/>
        <w:tblLayout w:type="fixed"/>
        <w:tblCellMar>
          <w:top w:w="0" w:type="dxa"/>
          <w:left w:w="108" w:type="dxa"/>
          <w:bottom w:w="0" w:type="dxa"/>
          <w:right w:w="108" w:type="dxa"/>
        </w:tblCellMar>
      </w:tblPr>
      <w:tblGrid>
        <w:gridCol w:w="1288"/>
        <w:gridCol w:w="1320"/>
        <w:gridCol w:w="1005"/>
        <w:gridCol w:w="2730"/>
        <w:gridCol w:w="2430"/>
        <w:gridCol w:w="1125"/>
        <w:gridCol w:w="1155"/>
        <w:gridCol w:w="1140"/>
        <w:gridCol w:w="1140"/>
        <w:gridCol w:w="900"/>
      </w:tblGrid>
      <w:tr w14:paraId="3E64682F">
        <w:tblPrEx>
          <w:tblCellMar>
            <w:top w:w="0" w:type="dxa"/>
            <w:left w:w="108" w:type="dxa"/>
            <w:bottom w:w="0" w:type="dxa"/>
            <w:right w:w="108" w:type="dxa"/>
          </w:tblCellMar>
        </w:tblPrEx>
        <w:trPr>
          <w:trHeight w:val="90" w:hRule="atLeast"/>
        </w:trPr>
        <w:tc>
          <w:tcPr>
            <w:tcW w:w="14233" w:type="dxa"/>
            <w:gridSpan w:val="10"/>
            <w:tcBorders>
              <w:top w:val="nil"/>
              <w:left w:val="nil"/>
              <w:bottom w:val="nil"/>
              <w:right w:val="nil"/>
            </w:tcBorders>
            <w:shd w:val="clear" w:color="auto" w:fill="auto"/>
            <w:vAlign w:val="center"/>
          </w:tcPr>
          <w:p w14:paraId="0479735F">
            <w:pPr>
              <w:widowControl/>
              <w:rPr>
                <w:rFonts w:ascii="仿宋_GB2312" w:hAnsi="黑体" w:eastAsia="仿宋_GB2312"/>
                <w:bCs/>
                <w:color w:val="000000"/>
                <w:sz w:val="32"/>
                <w:szCs w:val="32"/>
              </w:rPr>
            </w:pPr>
            <w:r>
              <w:rPr>
                <w:rFonts w:hint="eastAsia" w:ascii="仿宋_GB2312" w:hAnsi="黑体" w:eastAsia="仿宋_GB2312"/>
                <w:bCs/>
                <w:color w:val="000000"/>
                <w:sz w:val="32"/>
                <w:szCs w:val="32"/>
              </w:rPr>
              <w:t>附表1</w:t>
            </w:r>
          </w:p>
        </w:tc>
      </w:tr>
      <w:tr w14:paraId="263BD448">
        <w:tblPrEx>
          <w:tblCellMar>
            <w:top w:w="0" w:type="dxa"/>
            <w:left w:w="108" w:type="dxa"/>
            <w:bottom w:w="0" w:type="dxa"/>
            <w:right w:w="108" w:type="dxa"/>
          </w:tblCellMar>
        </w:tblPrEx>
        <w:trPr>
          <w:trHeight w:val="562" w:hRule="atLeast"/>
        </w:trPr>
        <w:tc>
          <w:tcPr>
            <w:tcW w:w="14233" w:type="dxa"/>
            <w:gridSpan w:val="10"/>
            <w:tcBorders>
              <w:top w:val="nil"/>
              <w:left w:val="nil"/>
              <w:bottom w:val="nil"/>
              <w:right w:val="nil"/>
            </w:tcBorders>
            <w:shd w:val="clear" w:color="auto" w:fill="auto"/>
            <w:vAlign w:val="center"/>
          </w:tcPr>
          <w:p w14:paraId="04E33158">
            <w:pPr>
              <w:widowControl/>
              <w:jc w:val="center"/>
              <w:rPr>
                <w:rFonts w:asciiTheme="minorEastAsia" w:hAnsiTheme="minorEastAsia"/>
                <w:b/>
                <w:bCs/>
                <w:color w:val="000000"/>
                <w:sz w:val="44"/>
                <w:szCs w:val="44"/>
              </w:rPr>
            </w:pPr>
            <w:r>
              <w:rPr>
                <w:rFonts w:hint="eastAsia" w:asciiTheme="minorEastAsia" w:hAnsiTheme="minorEastAsia"/>
                <w:b/>
                <w:sz w:val="44"/>
                <w:szCs w:val="44"/>
              </w:rPr>
              <w:t>项目支出绩效评价评分表</w:t>
            </w:r>
          </w:p>
        </w:tc>
      </w:tr>
      <w:tr w14:paraId="4E86BE5A">
        <w:tblPrEx>
          <w:tblCellMar>
            <w:top w:w="0" w:type="dxa"/>
            <w:left w:w="108" w:type="dxa"/>
            <w:bottom w:w="0" w:type="dxa"/>
            <w:right w:w="108" w:type="dxa"/>
          </w:tblCellMar>
        </w:tblPrEx>
        <w:trPr>
          <w:trHeight w:val="393" w:hRule="atLeast"/>
        </w:trPr>
        <w:tc>
          <w:tcPr>
            <w:tcW w:w="14233" w:type="dxa"/>
            <w:gridSpan w:val="10"/>
            <w:tcBorders>
              <w:top w:val="nil"/>
              <w:left w:val="nil"/>
              <w:bottom w:val="nil"/>
              <w:right w:val="nil"/>
            </w:tcBorders>
            <w:shd w:val="clear" w:color="auto" w:fill="auto"/>
            <w:vAlign w:val="center"/>
          </w:tcPr>
          <w:p w14:paraId="6DA42848">
            <w:pPr>
              <w:widowControl/>
              <w:rPr>
                <w:rFonts w:hint="default"/>
                <w:b/>
                <w:bCs/>
                <w:color w:val="000000"/>
                <w:sz w:val="28"/>
                <w:szCs w:val="28"/>
              </w:rPr>
            </w:pPr>
            <w:r>
              <w:rPr>
                <w:rFonts w:hint="eastAsia"/>
                <w:b/>
                <w:bCs/>
                <w:color w:val="000000"/>
                <w:sz w:val="28"/>
                <w:szCs w:val="28"/>
              </w:rPr>
              <w:t>项目名称：</w:t>
            </w:r>
            <w:r>
              <w:rPr>
                <w:rFonts w:hint="default"/>
                <w:b/>
                <w:bCs/>
                <w:color w:val="000000"/>
                <w:sz w:val="28"/>
                <w:szCs w:val="28"/>
              </w:rPr>
              <w:t>档案资料数字化建设经费</w:t>
            </w:r>
          </w:p>
        </w:tc>
      </w:tr>
      <w:tr w14:paraId="603BDE94">
        <w:tblPrEx>
          <w:tblCellMar>
            <w:top w:w="0" w:type="dxa"/>
            <w:left w:w="108" w:type="dxa"/>
            <w:bottom w:w="0" w:type="dxa"/>
            <w:right w:w="108" w:type="dxa"/>
          </w:tblCellMar>
        </w:tblPrEx>
        <w:trPr>
          <w:trHeight w:val="552" w:hRule="atLeast"/>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375D8785">
            <w:pPr>
              <w:widowControl/>
              <w:rPr>
                <w:b/>
                <w:bCs/>
                <w:color w:val="000000"/>
              </w:rPr>
            </w:pPr>
            <w:r>
              <w:rPr>
                <w:rFonts w:hint="eastAsia"/>
                <w:b/>
                <w:bCs/>
                <w:color w:val="000000"/>
              </w:rPr>
              <w:t>一级指标及分值</w:t>
            </w:r>
          </w:p>
        </w:tc>
        <w:tc>
          <w:tcPr>
            <w:tcW w:w="1320" w:type="dxa"/>
            <w:tcBorders>
              <w:top w:val="single" w:color="auto" w:sz="4" w:space="0"/>
              <w:left w:val="nil"/>
              <w:bottom w:val="single" w:color="auto" w:sz="4" w:space="0"/>
              <w:right w:val="single" w:color="auto" w:sz="4" w:space="0"/>
            </w:tcBorders>
            <w:shd w:val="clear" w:color="auto" w:fill="auto"/>
            <w:vAlign w:val="center"/>
          </w:tcPr>
          <w:p w14:paraId="14FFCC80">
            <w:pPr>
              <w:widowControl/>
              <w:rPr>
                <w:b/>
                <w:bCs/>
                <w:color w:val="000000"/>
              </w:rPr>
            </w:pPr>
            <w:r>
              <w:rPr>
                <w:rFonts w:hint="eastAsia"/>
                <w:b/>
                <w:bCs/>
                <w:color w:val="000000"/>
              </w:rPr>
              <w:t>二级指标及分值</w:t>
            </w:r>
          </w:p>
        </w:tc>
        <w:tc>
          <w:tcPr>
            <w:tcW w:w="1005" w:type="dxa"/>
            <w:tcBorders>
              <w:top w:val="single" w:color="auto" w:sz="4" w:space="0"/>
              <w:left w:val="nil"/>
              <w:bottom w:val="single" w:color="auto" w:sz="4" w:space="0"/>
              <w:right w:val="single" w:color="auto" w:sz="4" w:space="0"/>
            </w:tcBorders>
            <w:shd w:val="clear" w:color="auto" w:fill="auto"/>
            <w:vAlign w:val="center"/>
          </w:tcPr>
          <w:p w14:paraId="48E68C68">
            <w:pPr>
              <w:widowControl/>
              <w:rPr>
                <w:b/>
                <w:bCs/>
                <w:color w:val="000000"/>
              </w:rPr>
            </w:pPr>
            <w:r>
              <w:rPr>
                <w:rFonts w:hint="eastAsia"/>
                <w:b/>
                <w:bCs/>
                <w:color w:val="000000"/>
              </w:rPr>
              <w:t>三级指标及分值</w:t>
            </w:r>
          </w:p>
        </w:tc>
        <w:tc>
          <w:tcPr>
            <w:tcW w:w="2730" w:type="dxa"/>
            <w:tcBorders>
              <w:top w:val="single" w:color="auto" w:sz="4" w:space="0"/>
              <w:left w:val="nil"/>
              <w:bottom w:val="single" w:color="auto" w:sz="4" w:space="0"/>
              <w:right w:val="single" w:color="auto" w:sz="4" w:space="0"/>
            </w:tcBorders>
            <w:shd w:val="clear" w:color="auto" w:fill="auto"/>
            <w:vAlign w:val="center"/>
          </w:tcPr>
          <w:p w14:paraId="169B62A3">
            <w:pPr>
              <w:widowControl/>
              <w:rPr>
                <w:b/>
                <w:bCs/>
                <w:color w:val="000000"/>
              </w:rPr>
            </w:pPr>
            <w:r>
              <w:rPr>
                <w:rFonts w:hint="eastAsia"/>
                <w:b/>
                <w:bCs/>
                <w:color w:val="000000"/>
              </w:rPr>
              <w:t>四级指标及分值</w:t>
            </w:r>
          </w:p>
        </w:tc>
        <w:tc>
          <w:tcPr>
            <w:tcW w:w="2430" w:type="dxa"/>
            <w:tcBorders>
              <w:top w:val="single" w:color="auto" w:sz="4" w:space="0"/>
              <w:left w:val="nil"/>
              <w:bottom w:val="single" w:color="auto" w:sz="4" w:space="0"/>
              <w:right w:val="single" w:color="auto" w:sz="4" w:space="0"/>
            </w:tcBorders>
            <w:shd w:val="clear" w:color="auto" w:fill="auto"/>
            <w:vAlign w:val="center"/>
          </w:tcPr>
          <w:p w14:paraId="4FFE97DD">
            <w:pPr>
              <w:widowControl/>
              <w:jc w:val="center"/>
              <w:rPr>
                <w:b/>
                <w:bCs/>
                <w:color w:val="000000"/>
              </w:rPr>
            </w:pPr>
            <w:r>
              <w:rPr>
                <w:rFonts w:hint="eastAsia"/>
                <w:b/>
                <w:bCs/>
                <w:color w:val="000000"/>
              </w:rPr>
              <w:t>指标解释</w:t>
            </w:r>
          </w:p>
        </w:tc>
        <w:tc>
          <w:tcPr>
            <w:tcW w:w="1125" w:type="dxa"/>
            <w:tcBorders>
              <w:top w:val="single" w:color="auto" w:sz="4" w:space="0"/>
              <w:left w:val="nil"/>
              <w:bottom w:val="single" w:color="auto" w:sz="4" w:space="0"/>
              <w:right w:val="single" w:color="auto" w:sz="4" w:space="0"/>
            </w:tcBorders>
            <w:shd w:val="clear" w:color="auto" w:fill="auto"/>
            <w:vAlign w:val="center"/>
          </w:tcPr>
          <w:p w14:paraId="38529879">
            <w:pPr>
              <w:widowControl/>
              <w:jc w:val="center"/>
              <w:rPr>
                <w:b/>
                <w:bCs/>
                <w:color w:val="000000"/>
              </w:rPr>
            </w:pPr>
            <w:r>
              <w:rPr>
                <w:rFonts w:hint="eastAsia"/>
                <w:b/>
                <w:bCs/>
                <w:color w:val="000000"/>
              </w:rPr>
              <w:t>评价标准</w:t>
            </w:r>
          </w:p>
        </w:tc>
        <w:tc>
          <w:tcPr>
            <w:tcW w:w="1155" w:type="dxa"/>
            <w:tcBorders>
              <w:top w:val="single" w:color="auto" w:sz="4" w:space="0"/>
              <w:left w:val="nil"/>
              <w:bottom w:val="single" w:color="auto" w:sz="4" w:space="0"/>
              <w:right w:val="single" w:color="auto" w:sz="4" w:space="0"/>
            </w:tcBorders>
            <w:shd w:val="clear" w:color="auto" w:fill="auto"/>
            <w:vAlign w:val="center"/>
          </w:tcPr>
          <w:p w14:paraId="130A3A8D">
            <w:pPr>
              <w:widowControl/>
              <w:jc w:val="center"/>
              <w:rPr>
                <w:b/>
                <w:bCs/>
                <w:color w:val="000000"/>
              </w:rPr>
            </w:pPr>
            <w:r>
              <w:rPr>
                <w:rFonts w:hint="eastAsia"/>
                <w:b/>
                <w:bCs/>
                <w:color w:val="000000"/>
              </w:rPr>
              <w:t>得分</w:t>
            </w:r>
          </w:p>
        </w:tc>
        <w:tc>
          <w:tcPr>
            <w:tcW w:w="1140" w:type="dxa"/>
            <w:tcBorders>
              <w:top w:val="single" w:color="auto" w:sz="4" w:space="0"/>
              <w:left w:val="nil"/>
              <w:bottom w:val="single" w:color="auto" w:sz="4" w:space="0"/>
              <w:right w:val="single" w:color="auto" w:sz="4" w:space="0"/>
            </w:tcBorders>
            <w:shd w:val="clear" w:color="auto" w:fill="auto"/>
            <w:vAlign w:val="center"/>
          </w:tcPr>
          <w:p w14:paraId="0E8C5A71">
            <w:pPr>
              <w:widowControl/>
              <w:jc w:val="center"/>
              <w:rPr>
                <w:b/>
                <w:bCs/>
                <w:color w:val="000000"/>
              </w:rPr>
            </w:pPr>
            <w:r>
              <w:rPr>
                <w:rFonts w:hint="eastAsia"/>
                <w:b/>
                <w:bCs/>
                <w:color w:val="000000"/>
              </w:rPr>
              <w:t>依据</w:t>
            </w:r>
          </w:p>
        </w:tc>
        <w:tc>
          <w:tcPr>
            <w:tcW w:w="1140" w:type="dxa"/>
            <w:tcBorders>
              <w:top w:val="single" w:color="auto" w:sz="4" w:space="0"/>
              <w:left w:val="nil"/>
              <w:bottom w:val="single" w:color="auto" w:sz="4" w:space="0"/>
              <w:right w:val="single" w:color="auto" w:sz="4" w:space="0"/>
            </w:tcBorders>
            <w:shd w:val="clear" w:color="auto" w:fill="auto"/>
            <w:vAlign w:val="center"/>
          </w:tcPr>
          <w:p w14:paraId="00F873DF">
            <w:pPr>
              <w:widowControl/>
              <w:jc w:val="center"/>
              <w:rPr>
                <w:b/>
                <w:bCs/>
                <w:color w:val="000000"/>
              </w:rPr>
            </w:pPr>
            <w:r>
              <w:rPr>
                <w:rFonts w:hint="eastAsia"/>
                <w:b/>
                <w:bCs/>
                <w:color w:val="000000"/>
              </w:rPr>
              <w:t>依据来源</w:t>
            </w:r>
          </w:p>
        </w:tc>
        <w:tc>
          <w:tcPr>
            <w:tcW w:w="900" w:type="dxa"/>
            <w:tcBorders>
              <w:top w:val="single" w:color="auto" w:sz="4" w:space="0"/>
              <w:left w:val="nil"/>
              <w:bottom w:val="single" w:color="auto" w:sz="4" w:space="0"/>
              <w:right w:val="single" w:color="auto" w:sz="4" w:space="0"/>
            </w:tcBorders>
            <w:shd w:val="clear" w:color="auto" w:fill="auto"/>
            <w:vAlign w:val="center"/>
          </w:tcPr>
          <w:p w14:paraId="343E2167">
            <w:pPr>
              <w:widowControl/>
              <w:rPr>
                <w:b/>
                <w:bCs/>
                <w:color w:val="000000"/>
              </w:rPr>
            </w:pPr>
            <w:r>
              <w:rPr>
                <w:rFonts w:hint="eastAsia"/>
                <w:b/>
                <w:bCs/>
                <w:color w:val="000000"/>
              </w:rPr>
              <w:t>证据收集方式</w:t>
            </w:r>
          </w:p>
        </w:tc>
      </w:tr>
      <w:tr w14:paraId="7DDC56B2">
        <w:tblPrEx>
          <w:tblCellMar>
            <w:top w:w="0" w:type="dxa"/>
            <w:left w:w="108" w:type="dxa"/>
            <w:bottom w:w="0" w:type="dxa"/>
            <w:right w:w="108" w:type="dxa"/>
          </w:tblCellMar>
        </w:tblPrEx>
        <w:trPr>
          <w:trHeight w:val="1700" w:hRule="atLeast"/>
        </w:trPr>
        <w:tc>
          <w:tcPr>
            <w:tcW w:w="1288" w:type="dxa"/>
            <w:vMerge w:val="restart"/>
            <w:tcBorders>
              <w:top w:val="nil"/>
              <w:left w:val="single" w:color="auto" w:sz="4" w:space="0"/>
              <w:right w:val="single" w:color="auto" w:sz="4" w:space="0"/>
            </w:tcBorders>
            <w:shd w:val="clear" w:color="auto" w:fill="auto"/>
            <w:vAlign w:val="center"/>
          </w:tcPr>
          <w:p w14:paraId="13DE8CAD">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产</w:t>
            </w:r>
          </w:p>
          <w:p w14:paraId="3F3B8674">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出</w:t>
            </w:r>
          </w:p>
          <w:p w14:paraId="1E1D43A9">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14:paraId="04759921">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14:paraId="2CBB8257">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14:paraId="3596B39F">
            <w:pPr>
              <w:widowControl/>
              <w:rPr>
                <w:rFonts w:hint="eastAsia"/>
                <w:color w:val="000000"/>
              </w:rPr>
            </w:pPr>
            <w:r>
              <w:rPr>
                <w:rFonts w:hint="eastAsia"/>
                <w:color w:val="000000"/>
              </w:rPr>
              <w:t>　</w:t>
            </w:r>
          </w:p>
          <w:p w14:paraId="5C00F8BB">
            <w:pPr>
              <w:widowControl/>
              <w:rPr>
                <w:color w:val="000000"/>
              </w:rPr>
            </w:pPr>
            <w:r>
              <w:rPr>
                <w:rFonts w:hint="eastAsia"/>
                <w:color w:val="000000"/>
              </w:rPr>
              <w:t>　</w:t>
            </w:r>
          </w:p>
        </w:tc>
        <w:tc>
          <w:tcPr>
            <w:tcW w:w="1320" w:type="dxa"/>
            <w:tcBorders>
              <w:top w:val="nil"/>
              <w:left w:val="nil"/>
              <w:bottom w:val="single" w:color="auto" w:sz="4" w:space="0"/>
              <w:right w:val="single" w:color="auto" w:sz="4" w:space="0"/>
            </w:tcBorders>
            <w:shd w:val="clear" w:color="auto" w:fill="auto"/>
            <w:vAlign w:val="center"/>
          </w:tcPr>
          <w:p w14:paraId="5DC33D79">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数量指标</w:t>
            </w:r>
          </w:p>
        </w:tc>
        <w:tc>
          <w:tcPr>
            <w:tcW w:w="1005" w:type="dxa"/>
            <w:tcBorders>
              <w:top w:val="nil"/>
              <w:left w:val="nil"/>
              <w:bottom w:val="single" w:color="auto" w:sz="4" w:space="0"/>
              <w:right w:val="single" w:color="auto" w:sz="4" w:space="0"/>
            </w:tcBorders>
            <w:shd w:val="clear" w:color="auto" w:fill="auto"/>
            <w:vAlign w:val="center"/>
          </w:tcPr>
          <w:p w14:paraId="14F62A23">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14:paraId="4AF55B32">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年度标</w:t>
            </w:r>
            <w:r>
              <w:rPr>
                <w:rFonts w:hint="default" w:ascii="Times New Roman" w:hAnsi="Times New Roman" w:eastAsia="仿宋_GB2312" w:cs="Times New Roman"/>
                <w:lang w:eastAsia="zh-CN"/>
              </w:rPr>
              <w:t>&gt;=120</w:t>
            </w:r>
            <w:r>
              <w:rPr>
                <w:rFonts w:hint="eastAsia" w:ascii="Times New Roman" w:hAnsi="Times New Roman" w:eastAsia="仿宋_GB2312" w:cs="Times New Roman"/>
                <w:lang w:val="en-US" w:eastAsia="zh-CN"/>
              </w:rPr>
              <w:t>万画幅</w:t>
            </w:r>
            <w:r>
              <w:rPr>
                <w:rFonts w:hint="default" w:ascii="Times New Roman" w:hAnsi="Times New Roman" w:eastAsia="仿宋_GB2312" w:cs="Times New Roman"/>
                <w:lang w:eastAsia="zh-CN"/>
              </w:rPr>
              <w:t>，&gt;=8万条目录</w:t>
            </w:r>
          </w:p>
        </w:tc>
        <w:tc>
          <w:tcPr>
            <w:tcW w:w="2430" w:type="dxa"/>
            <w:tcBorders>
              <w:top w:val="nil"/>
              <w:left w:val="nil"/>
              <w:bottom w:val="single" w:color="auto" w:sz="4" w:space="0"/>
              <w:right w:val="single" w:color="auto" w:sz="4" w:space="0"/>
            </w:tcBorders>
            <w:shd w:val="clear" w:color="auto" w:fill="auto"/>
            <w:vAlign w:val="center"/>
          </w:tcPr>
          <w:p w14:paraId="693069F5">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年度档案数字化转化数量</w:t>
            </w:r>
          </w:p>
        </w:tc>
        <w:tc>
          <w:tcPr>
            <w:tcW w:w="1125" w:type="dxa"/>
            <w:tcBorders>
              <w:top w:val="nil"/>
              <w:left w:val="nil"/>
              <w:bottom w:val="single" w:color="auto" w:sz="4" w:space="0"/>
              <w:right w:val="single" w:color="auto" w:sz="4" w:space="0"/>
            </w:tcBorders>
            <w:shd w:val="clear" w:color="auto" w:fill="auto"/>
            <w:vAlign w:val="center"/>
          </w:tcPr>
          <w:p w14:paraId="5498EEA0">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项目完成后才能够最终确定完成产出的任务量</w:t>
            </w:r>
          </w:p>
        </w:tc>
        <w:tc>
          <w:tcPr>
            <w:tcW w:w="1155" w:type="dxa"/>
            <w:tcBorders>
              <w:top w:val="nil"/>
              <w:left w:val="nil"/>
              <w:bottom w:val="single" w:color="auto" w:sz="4" w:space="0"/>
              <w:right w:val="single" w:color="auto" w:sz="4" w:space="0"/>
            </w:tcBorders>
            <w:shd w:val="clear" w:color="auto" w:fill="auto"/>
            <w:vAlign w:val="center"/>
          </w:tcPr>
          <w:p w14:paraId="0EDD1EFF">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14:paraId="67DC859F">
            <w:pPr>
              <w:widowControl/>
              <w:rPr>
                <w:rFonts w:hint="default" w:ascii="Times New Roman" w:hAnsi="Times New Roman" w:eastAsia="仿宋_GB2312" w:cs="Times New Roman"/>
                <w:lang w:eastAsia="zh-CN"/>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10</w:t>
            </w:r>
          </w:p>
          <w:p w14:paraId="1A44141F">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w:t>
            </w:r>
          </w:p>
        </w:tc>
        <w:tc>
          <w:tcPr>
            <w:tcW w:w="1140" w:type="dxa"/>
            <w:tcBorders>
              <w:top w:val="nil"/>
              <w:left w:val="nil"/>
              <w:bottom w:val="single" w:color="auto" w:sz="4" w:space="0"/>
              <w:right w:val="single" w:color="auto" w:sz="4" w:space="0"/>
            </w:tcBorders>
            <w:shd w:val="clear" w:color="auto" w:fill="auto"/>
            <w:vAlign w:val="center"/>
          </w:tcPr>
          <w:p w14:paraId="2DD7410A">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施工合同、施工进度</w:t>
            </w:r>
          </w:p>
        </w:tc>
        <w:tc>
          <w:tcPr>
            <w:tcW w:w="1140" w:type="dxa"/>
            <w:vMerge w:val="restart"/>
            <w:tcBorders>
              <w:top w:val="nil"/>
              <w:left w:val="nil"/>
              <w:right w:val="single" w:color="auto" w:sz="4" w:space="0"/>
            </w:tcBorders>
            <w:shd w:val="clear" w:color="auto" w:fill="auto"/>
            <w:vAlign w:val="center"/>
          </w:tcPr>
          <w:p w14:paraId="629AF11E">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t>⑴中共甘肃省委办公厅 甘肃省人民政府办公厅关于印发《甘肃省档案数字化管理办法（试行）》的通知；</w:t>
            </w:r>
          </w:p>
          <w:p w14:paraId="28914756">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⑵《档案数字化外包安全管理规范》。</w:t>
            </w:r>
          </w:p>
          <w:p w14:paraId="3CD1C3E3">
            <w:pPr>
              <w:widowControl/>
              <w:rPr>
                <w:color w:val="000000"/>
              </w:rPr>
            </w:pPr>
            <w:r>
              <w:rPr>
                <w:rFonts w:hint="eastAsia"/>
                <w:color w:val="000000"/>
              </w:rPr>
              <w:t>　</w:t>
            </w:r>
          </w:p>
          <w:p w14:paraId="74973BFD">
            <w:pPr>
              <w:widowControl/>
              <w:rPr>
                <w:color w:val="000000"/>
              </w:rPr>
            </w:pPr>
            <w:r>
              <w:rPr>
                <w:rFonts w:hint="eastAsia"/>
                <w:color w:val="000000"/>
              </w:rPr>
              <w:t>　</w:t>
            </w:r>
          </w:p>
          <w:p w14:paraId="2C9599B9">
            <w:pPr>
              <w:widowControl/>
              <w:rPr>
                <w:color w:val="000000"/>
              </w:rPr>
            </w:pPr>
            <w:r>
              <w:rPr>
                <w:rFonts w:hint="eastAsia"/>
                <w:color w:val="000000"/>
              </w:rPr>
              <w:t>　</w:t>
            </w:r>
          </w:p>
          <w:p w14:paraId="600A1FDE">
            <w:pPr>
              <w:widowControl/>
              <w:rPr>
                <w:color w:val="000000"/>
              </w:rPr>
            </w:pPr>
            <w:r>
              <w:rPr>
                <w:rFonts w:hint="eastAsia"/>
                <w:color w:val="000000"/>
              </w:rPr>
              <w:t>　</w:t>
            </w:r>
          </w:p>
        </w:tc>
        <w:tc>
          <w:tcPr>
            <w:tcW w:w="900" w:type="dxa"/>
            <w:vMerge w:val="restart"/>
            <w:tcBorders>
              <w:top w:val="nil"/>
              <w:left w:val="nil"/>
              <w:right w:val="single" w:color="auto" w:sz="4" w:space="0"/>
            </w:tcBorders>
            <w:shd w:val="clear" w:color="auto" w:fill="auto"/>
            <w:vAlign w:val="center"/>
          </w:tcPr>
          <w:p w14:paraId="4A23B7DA">
            <w:pPr>
              <w:widowControl/>
              <w:rPr>
                <w:rFonts w:hint="eastAsia"/>
                <w:b/>
                <w:bCs/>
                <w:color w:val="000000"/>
              </w:rPr>
            </w:pPr>
            <w:r>
              <w:rPr>
                <w:rFonts w:hint="eastAsia"/>
                <w:b/>
                <w:bCs/>
                <w:color w:val="000000"/>
              </w:rPr>
              <w:t>　</w:t>
            </w:r>
            <w:r>
              <w:rPr>
                <w:rFonts w:hint="eastAsia" w:ascii="Times New Roman" w:hAnsi="Times New Roman" w:eastAsia="仿宋_GB2312" w:cs="Times New Roman"/>
                <w:lang w:val="en-US" w:eastAsia="zh-CN"/>
              </w:rPr>
              <w:t>项目支出进度、业务处室反馈、实地查看</w:t>
            </w:r>
          </w:p>
          <w:p w14:paraId="2F0A68E5">
            <w:pPr>
              <w:widowControl/>
              <w:rPr>
                <w:color w:val="000000"/>
              </w:rPr>
            </w:pPr>
            <w:r>
              <w:rPr>
                <w:rFonts w:hint="eastAsia"/>
                <w:color w:val="000000"/>
              </w:rPr>
              <w:t>　</w:t>
            </w:r>
          </w:p>
          <w:p w14:paraId="510D1F3A">
            <w:pPr>
              <w:widowControl/>
              <w:rPr>
                <w:color w:val="000000"/>
              </w:rPr>
            </w:pPr>
            <w:r>
              <w:rPr>
                <w:rFonts w:hint="eastAsia"/>
                <w:color w:val="000000"/>
              </w:rPr>
              <w:t>　</w:t>
            </w:r>
          </w:p>
          <w:p w14:paraId="5F62F742">
            <w:pPr>
              <w:widowControl/>
              <w:rPr>
                <w:color w:val="000000"/>
              </w:rPr>
            </w:pPr>
            <w:r>
              <w:rPr>
                <w:rFonts w:hint="eastAsia"/>
                <w:color w:val="000000"/>
              </w:rPr>
              <w:t>　</w:t>
            </w:r>
          </w:p>
          <w:p w14:paraId="57EAF581">
            <w:pPr>
              <w:widowControl/>
              <w:rPr>
                <w:color w:val="000000"/>
              </w:rPr>
            </w:pPr>
            <w:r>
              <w:rPr>
                <w:rFonts w:hint="eastAsia"/>
                <w:color w:val="000000"/>
              </w:rPr>
              <w:t>　</w:t>
            </w:r>
          </w:p>
        </w:tc>
      </w:tr>
      <w:tr w14:paraId="7877C01C">
        <w:tblPrEx>
          <w:tblCellMar>
            <w:top w:w="0" w:type="dxa"/>
            <w:left w:w="108" w:type="dxa"/>
            <w:bottom w:w="0" w:type="dxa"/>
            <w:right w:w="108" w:type="dxa"/>
          </w:tblCellMar>
        </w:tblPrEx>
        <w:trPr>
          <w:trHeight w:val="714" w:hRule="atLeast"/>
        </w:trPr>
        <w:tc>
          <w:tcPr>
            <w:tcW w:w="1288" w:type="dxa"/>
            <w:vMerge w:val="continue"/>
            <w:tcBorders>
              <w:left w:val="single" w:color="auto" w:sz="4" w:space="0"/>
              <w:right w:val="single" w:color="auto" w:sz="4" w:space="0"/>
            </w:tcBorders>
            <w:shd w:val="clear" w:color="auto" w:fill="auto"/>
            <w:vAlign w:val="center"/>
          </w:tcPr>
          <w:p w14:paraId="6C30CB34">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14:paraId="5E9DE00C">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质量指标</w:t>
            </w:r>
          </w:p>
        </w:tc>
        <w:tc>
          <w:tcPr>
            <w:tcW w:w="1005" w:type="dxa"/>
            <w:tcBorders>
              <w:top w:val="nil"/>
              <w:left w:val="nil"/>
              <w:bottom w:val="single" w:color="auto" w:sz="4" w:space="0"/>
              <w:right w:val="single" w:color="auto" w:sz="4" w:space="0"/>
            </w:tcBorders>
            <w:shd w:val="clear" w:color="auto" w:fill="auto"/>
            <w:vAlign w:val="center"/>
          </w:tcPr>
          <w:p w14:paraId="498E3270">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30</w:t>
            </w:r>
          </w:p>
        </w:tc>
        <w:tc>
          <w:tcPr>
            <w:tcW w:w="2730" w:type="dxa"/>
            <w:tcBorders>
              <w:top w:val="nil"/>
              <w:left w:val="nil"/>
              <w:bottom w:val="single" w:color="auto" w:sz="4" w:space="0"/>
              <w:right w:val="single" w:color="auto" w:sz="4" w:space="0"/>
            </w:tcBorders>
            <w:shd w:val="clear" w:color="auto" w:fill="auto"/>
            <w:vAlign w:val="center"/>
          </w:tcPr>
          <w:p w14:paraId="6A822158">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馆藏系统</w:t>
            </w:r>
            <w:r>
              <w:rPr>
                <w:rFonts w:hint="default" w:ascii="Times New Roman" w:hAnsi="Times New Roman" w:eastAsia="仿宋_GB2312" w:cs="Times New Roman"/>
                <w:lang w:eastAsia="zh-CN"/>
              </w:rPr>
              <w:t>等保测评</w:t>
            </w:r>
            <w:r>
              <w:rPr>
                <w:rFonts w:hint="eastAsia" w:ascii="Times New Roman" w:hAnsi="Times New Roman" w:eastAsia="仿宋_GB2312" w:cs="Times New Roman"/>
                <w:lang w:val="en-US" w:eastAsia="zh-CN"/>
              </w:rPr>
              <w:t>10分、数字化档案转化清晰率10分、验收合格率10分</w:t>
            </w:r>
          </w:p>
        </w:tc>
        <w:tc>
          <w:tcPr>
            <w:tcW w:w="2430" w:type="dxa"/>
            <w:tcBorders>
              <w:top w:val="nil"/>
              <w:left w:val="nil"/>
              <w:bottom w:val="single" w:color="auto" w:sz="4" w:space="0"/>
              <w:right w:val="single" w:color="auto" w:sz="4" w:space="0"/>
            </w:tcBorders>
            <w:shd w:val="clear" w:color="auto" w:fill="auto"/>
            <w:vAlign w:val="center"/>
          </w:tcPr>
          <w:p w14:paraId="78515519">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数字化转化清晰率来衡量数字化质量指标</w:t>
            </w:r>
          </w:p>
        </w:tc>
        <w:tc>
          <w:tcPr>
            <w:tcW w:w="1125" w:type="dxa"/>
            <w:tcBorders>
              <w:top w:val="nil"/>
              <w:left w:val="nil"/>
              <w:bottom w:val="single" w:color="auto" w:sz="4" w:space="0"/>
              <w:right w:val="single" w:color="auto" w:sz="4" w:space="0"/>
            </w:tcBorders>
            <w:shd w:val="clear" w:color="auto" w:fill="auto"/>
            <w:vAlign w:val="center"/>
          </w:tcPr>
          <w:p w14:paraId="27E1AB5A">
            <w:pPr>
              <w:widowControl/>
              <w:jc w:val="center"/>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数字化档案转化清率&gt;=99%</w:t>
            </w:r>
          </w:p>
        </w:tc>
        <w:tc>
          <w:tcPr>
            <w:tcW w:w="1155" w:type="dxa"/>
            <w:tcBorders>
              <w:top w:val="nil"/>
              <w:left w:val="nil"/>
              <w:bottom w:val="single" w:color="auto" w:sz="4" w:space="0"/>
              <w:right w:val="single" w:color="auto" w:sz="4" w:space="0"/>
            </w:tcBorders>
            <w:shd w:val="clear" w:color="auto" w:fill="auto"/>
            <w:vAlign w:val="center"/>
          </w:tcPr>
          <w:p w14:paraId="2EC08AA8">
            <w:pPr>
              <w:widowControl/>
              <w:rPr>
                <w:rFonts w:hint="default"/>
                <w:color w:val="000000"/>
              </w:rPr>
            </w:pPr>
            <w:r>
              <w:rPr>
                <w:rFonts w:hint="eastAsia"/>
                <w:color w:val="000000"/>
              </w:rPr>
              <w:t>　</w:t>
            </w:r>
            <w:r>
              <w:rPr>
                <w:rFonts w:hint="default"/>
                <w:color w:val="000000"/>
              </w:rPr>
              <w:t>30</w:t>
            </w:r>
          </w:p>
        </w:tc>
        <w:tc>
          <w:tcPr>
            <w:tcW w:w="1140" w:type="dxa"/>
            <w:tcBorders>
              <w:top w:val="nil"/>
              <w:left w:val="nil"/>
              <w:bottom w:val="single" w:color="auto" w:sz="4" w:space="0"/>
              <w:right w:val="single" w:color="auto" w:sz="4" w:space="0"/>
            </w:tcBorders>
            <w:shd w:val="clear" w:color="auto" w:fill="auto"/>
            <w:vAlign w:val="center"/>
          </w:tcPr>
          <w:p w14:paraId="1C71D3EF">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14:paraId="3E58D044">
            <w:pPr>
              <w:widowControl/>
              <w:rPr>
                <w:color w:val="000000"/>
              </w:rPr>
            </w:pPr>
          </w:p>
        </w:tc>
        <w:tc>
          <w:tcPr>
            <w:tcW w:w="900" w:type="dxa"/>
            <w:vMerge w:val="continue"/>
            <w:tcBorders>
              <w:left w:val="nil"/>
              <w:right w:val="single" w:color="auto" w:sz="4" w:space="0"/>
            </w:tcBorders>
            <w:shd w:val="clear" w:color="auto" w:fill="auto"/>
            <w:vAlign w:val="center"/>
          </w:tcPr>
          <w:p w14:paraId="69D757AF">
            <w:pPr>
              <w:widowControl/>
              <w:rPr>
                <w:color w:val="000000"/>
              </w:rPr>
            </w:pPr>
          </w:p>
        </w:tc>
      </w:tr>
      <w:tr w14:paraId="486709B7">
        <w:tblPrEx>
          <w:tblCellMar>
            <w:top w:w="0" w:type="dxa"/>
            <w:left w:w="108" w:type="dxa"/>
            <w:bottom w:w="0" w:type="dxa"/>
            <w:right w:w="108" w:type="dxa"/>
          </w:tblCellMar>
        </w:tblPrEx>
        <w:trPr>
          <w:trHeight w:val="767" w:hRule="atLeast"/>
        </w:trPr>
        <w:tc>
          <w:tcPr>
            <w:tcW w:w="1288" w:type="dxa"/>
            <w:vMerge w:val="continue"/>
            <w:tcBorders>
              <w:left w:val="single" w:color="auto" w:sz="4" w:space="0"/>
              <w:bottom w:val="single" w:color="auto" w:sz="4" w:space="0"/>
              <w:right w:val="single" w:color="auto" w:sz="4" w:space="0"/>
            </w:tcBorders>
            <w:shd w:val="clear" w:color="auto" w:fill="auto"/>
            <w:vAlign w:val="center"/>
          </w:tcPr>
          <w:p w14:paraId="1B9F9BED">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14:paraId="150D6339">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时效指标</w:t>
            </w:r>
          </w:p>
        </w:tc>
        <w:tc>
          <w:tcPr>
            <w:tcW w:w="1005" w:type="dxa"/>
            <w:tcBorders>
              <w:top w:val="nil"/>
              <w:left w:val="nil"/>
              <w:bottom w:val="single" w:color="auto" w:sz="4" w:space="0"/>
              <w:right w:val="single" w:color="auto" w:sz="4" w:space="0"/>
            </w:tcBorders>
            <w:shd w:val="clear" w:color="auto" w:fill="auto"/>
            <w:vAlign w:val="center"/>
          </w:tcPr>
          <w:p w14:paraId="58D55159">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14:paraId="422A230D">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档案数字化工作完成及时性、馆藏系统平台升级改造工作完成及时性</w:t>
            </w:r>
          </w:p>
        </w:tc>
        <w:tc>
          <w:tcPr>
            <w:tcW w:w="2430" w:type="dxa"/>
            <w:tcBorders>
              <w:top w:val="nil"/>
              <w:left w:val="nil"/>
              <w:bottom w:val="single" w:color="auto" w:sz="4" w:space="0"/>
              <w:right w:val="single" w:color="auto" w:sz="4" w:space="0"/>
            </w:tcBorders>
            <w:shd w:val="clear" w:color="auto" w:fill="auto"/>
            <w:vAlign w:val="center"/>
          </w:tcPr>
          <w:p w14:paraId="58A9FC44">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及时性</w:t>
            </w:r>
          </w:p>
        </w:tc>
        <w:tc>
          <w:tcPr>
            <w:tcW w:w="1125" w:type="dxa"/>
            <w:tcBorders>
              <w:top w:val="nil"/>
              <w:left w:val="nil"/>
              <w:bottom w:val="single" w:color="auto" w:sz="4" w:space="0"/>
              <w:right w:val="single" w:color="auto" w:sz="4" w:space="0"/>
            </w:tcBorders>
            <w:shd w:val="clear" w:color="auto" w:fill="auto"/>
            <w:vAlign w:val="center"/>
          </w:tcPr>
          <w:p w14:paraId="5305DB5F">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合同有效期内完工</w:t>
            </w:r>
          </w:p>
        </w:tc>
        <w:tc>
          <w:tcPr>
            <w:tcW w:w="1155" w:type="dxa"/>
            <w:tcBorders>
              <w:top w:val="nil"/>
              <w:left w:val="nil"/>
              <w:bottom w:val="single" w:color="auto" w:sz="4" w:space="0"/>
              <w:right w:val="single" w:color="auto" w:sz="4" w:space="0"/>
            </w:tcBorders>
            <w:shd w:val="clear" w:color="auto" w:fill="auto"/>
            <w:vAlign w:val="center"/>
          </w:tcPr>
          <w:p w14:paraId="74B39277">
            <w:pPr>
              <w:widowControl/>
              <w:rPr>
                <w:rFonts w:hint="default"/>
                <w:color w:val="000000"/>
              </w:rPr>
            </w:pPr>
            <w:r>
              <w:rPr>
                <w:rFonts w:hint="eastAsia"/>
                <w:color w:val="000000"/>
              </w:rPr>
              <w:t>　</w:t>
            </w:r>
            <w:r>
              <w:rPr>
                <w:rFonts w:hint="default"/>
                <w:color w:val="000000"/>
              </w:rPr>
              <w:t>10</w:t>
            </w:r>
          </w:p>
        </w:tc>
        <w:tc>
          <w:tcPr>
            <w:tcW w:w="1140" w:type="dxa"/>
            <w:tcBorders>
              <w:top w:val="nil"/>
              <w:left w:val="nil"/>
              <w:bottom w:val="single" w:color="auto" w:sz="4" w:space="0"/>
              <w:right w:val="single" w:color="auto" w:sz="4" w:space="0"/>
            </w:tcBorders>
            <w:shd w:val="clear" w:color="auto" w:fill="auto"/>
            <w:vAlign w:val="center"/>
          </w:tcPr>
          <w:p w14:paraId="3F896D20">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14:paraId="42B4ACCC">
            <w:pPr>
              <w:widowControl/>
              <w:rPr>
                <w:color w:val="000000"/>
              </w:rPr>
            </w:pPr>
          </w:p>
        </w:tc>
        <w:tc>
          <w:tcPr>
            <w:tcW w:w="900" w:type="dxa"/>
            <w:vMerge w:val="continue"/>
            <w:tcBorders>
              <w:left w:val="nil"/>
              <w:right w:val="single" w:color="auto" w:sz="4" w:space="0"/>
            </w:tcBorders>
            <w:shd w:val="clear" w:color="auto" w:fill="auto"/>
            <w:vAlign w:val="center"/>
          </w:tcPr>
          <w:p w14:paraId="25369B2D">
            <w:pPr>
              <w:widowControl/>
              <w:rPr>
                <w:color w:val="000000"/>
              </w:rPr>
            </w:pPr>
          </w:p>
        </w:tc>
      </w:tr>
      <w:tr w14:paraId="1F025017">
        <w:tblPrEx>
          <w:tblCellMar>
            <w:top w:w="0" w:type="dxa"/>
            <w:left w:w="108" w:type="dxa"/>
            <w:bottom w:w="0" w:type="dxa"/>
            <w:right w:w="108" w:type="dxa"/>
          </w:tblCellMar>
        </w:tblPrEx>
        <w:trPr>
          <w:trHeight w:val="714" w:hRule="atLeast"/>
        </w:trPr>
        <w:tc>
          <w:tcPr>
            <w:tcW w:w="1288" w:type="dxa"/>
            <w:vMerge w:val="restart"/>
            <w:tcBorders>
              <w:top w:val="nil"/>
              <w:left w:val="single" w:color="auto" w:sz="4" w:space="0"/>
              <w:right w:val="single" w:color="auto" w:sz="4" w:space="0"/>
            </w:tcBorders>
            <w:shd w:val="clear" w:color="auto" w:fill="auto"/>
            <w:vAlign w:val="center"/>
          </w:tcPr>
          <w:p w14:paraId="6D29C3CF">
            <w:pPr>
              <w:widowControl/>
              <w:rPr>
                <w:rFonts w:hint="eastAsia" w:ascii="Times New Roman" w:hAnsi="Times New Roman" w:eastAsia="仿宋_GB2312" w:cs="Times New Roman"/>
                <w:lang w:val="en-US" w:eastAsia="zh-CN"/>
              </w:rPr>
            </w:pPr>
            <w:r>
              <w:rPr>
                <w:rFonts w:hint="eastAsia"/>
                <w:color w:val="000000"/>
              </w:rPr>
              <w:t>　</w:t>
            </w:r>
            <w:r>
              <w:rPr>
                <w:rFonts w:hint="default"/>
                <w:color w:val="000000"/>
              </w:rPr>
              <w:tab/>
            </w:r>
            <w:r>
              <w:rPr>
                <w:rFonts w:hint="eastAsia" w:ascii="Times New Roman" w:hAnsi="Times New Roman" w:eastAsia="仿宋_GB2312" w:cs="Times New Roman"/>
                <w:lang w:val="en-US" w:eastAsia="zh-CN"/>
              </w:rPr>
              <w:t>效</w:t>
            </w:r>
          </w:p>
          <w:p w14:paraId="69F9C021">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益</w:t>
            </w:r>
          </w:p>
          <w:p w14:paraId="4109294B">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14:paraId="2755F2E0">
            <w:pPr>
              <w:widowControl/>
              <w:ind w:firstLine="42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14:paraId="33C2A0B9">
            <w:pPr>
              <w:widowControl/>
              <w:tabs>
                <w:tab w:val="left" w:pos="565"/>
              </w:tabs>
              <w:rPr>
                <w:rFonts w:hint="default"/>
                <w:color w:val="000000"/>
              </w:rPr>
            </w:pPr>
          </w:p>
          <w:p w14:paraId="10A95783">
            <w:pPr>
              <w:widowControl/>
              <w:rPr>
                <w:color w:val="000000"/>
              </w:rPr>
            </w:pPr>
            <w:r>
              <w:rPr>
                <w:rFonts w:hint="eastAsia"/>
                <w:color w:val="000000"/>
              </w:rPr>
              <w:t>　</w:t>
            </w:r>
          </w:p>
        </w:tc>
        <w:tc>
          <w:tcPr>
            <w:tcW w:w="1320" w:type="dxa"/>
            <w:tcBorders>
              <w:top w:val="nil"/>
              <w:left w:val="nil"/>
              <w:bottom w:val="single" w:color="auto" w:sz="4" w:space="0"/>
              <w:right w:val="single" w:color="auto" w:sz="4" w:space="0"/>
            </w:tcBorders>
            <w:shd w:val="clear" w:color="auto" w:fill="auto"/>
            <w:vAlign w:val="center"/>
          </w:tcPr>
          <w:p w14:paraId="4C9B34D9">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社会效益指标</w:t>
            </w:r>
          </w:p>
        </w:tc>
        <w:tc>
          <w:tcPr>
            <w:tcW w:w="1005" w:type="dxa"/>
            <w:tcBorders>
              <w:top w:val="nil"/>
              <w:left w:val="nil"/>
              <w:bottom w:val="single" w:color="auto" w:sz="4" w:space="0"/>
              <w:right w:val="single" w:color="auto" w:sz="4" w:space="0"/>
            </w:tcBorders>
            <w:shd w:val="clear" w:color="auto" w:fill="auto"/>
            <w:vAlign w:val="center"/>
          </w:tcPr>
          <w:p w14:paraId="4BDEE0DB">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20</w:t>
            </w:r>
          </w:p>
        </w:tc>
        <w:tc>
          <w:tcPr>
            <w:tcW w:w="2730" w:type="dxa"/>
            <w:tcBorders>
              <w:top w:val="nil"/>
              <w:left w:val="nil"/>
              <w:bottom w:val="single" w:color="auto" w:sz="4" w:space="0"/>
              <w:right w:val="single" w:color="auto" w:sz="4" w:space="0"/>
            </w:tcBorders>
            <w:shd w:val="clear" w:color="auto" w:fill="auto"/>
            <w:vAlign w:val="center"/>
          </w:tcPr>
          <w:p w14:paraId="03245D21">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档案借阅次数5分、档案泄密损毁事件发生数0起5分、档案寻找事间成本5分、电子化档案覆盖率5分</w:t>
            </w:r>
          </w:p>
        </w:tc>
        <w:tc>
          <w:tcPr>
            <w:tcW w:w="2430" w:type="dxa"/>
            <w:tcBorders>
              <w:top w:val="nil"/>
              <w:left w:val="nil"/>
              <w:bottom w:val="single" w:color="auto" w:sz="4" w:space="0"/>
              <w:right w:val="single" w:color="auto" w:sz="4" w:space="0"/>
            </w:tcBorders>
            <w:shd w:val="clear" w:color="auto" w:fill="auto"/>
            <w:vAlign w:val="center"/>
          </w:tcPr>
          <w:p w14:paraId="1B5284DF">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档案数字化防止档案泄密损毁，同时方便借阅人员，节省时间成本，社会效益显著</w:t>
            </w:r>
          </w:p>
        </w:tc>
        <w:tc>
          <w:tcPr>
            <w:tcW w:w="1125" w:type="dxa"/>
            <w:tcBorders>
              <w:top w:val="nil"/>
              <w:left w:val="nil"/>
              <w:bottom w:val="single" w:color="auto" w:sz="4" w:space="0"/>
              <w:right w:val="single" w:color="auto" w:sz="4" w:space="0"/>
            </w:tcBorders>
            <w:shd w:val="clear" w:color="auto" w:fill="auto"/>
            <w:vAlign w:val="center"/>
          </w:tcPr>
          <w:p w14:paraId="61345243">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20</w:t>
            </w:r>
          </w:p>
        </w:tc>
        <w:tc>
          <w:tcPr>
            <w:tcW w:w="1155" w:type="dxa"/>
            <w:tcBorders>
              <w:top w:val="nil"/>
              <w:left w:val="nil"/>
              <w:bottom w:val="single" w:color="auto" w:sz="4" w:space="0"/>
              <w:right w:val="single" w:color="auto" w:sz="4" w:space="0"/>
            </w:tcBorders>
            <w:shd w:val="clear" w:color="auto" w:fill="auto"/>
            <w:vAlign w:val="center"/>
          </w:tcPr>
          <w:p w14:paraId="38942A7A">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20</w:t>
            </w:r>
          </w:p>
        </w:tc>
        <w:tc>
          <w:tcPr>
            <w:tcW w:w="1140" w:type="dxa"/>
            <w:tcBorders>
              <w:top w:val="nil"/>
              <w:left w:val="nil"/>
              <w:bottom w:val="single" w:color="auto" w:sz="4" w:space="0"/>
              <w:right w:val="single" w:color="auto" w:sz="4" w:space="0"/>
            </w:tcBorders>
            <w:shd w:val="clear" w:color="auto" w:fill="auto"/>
            <w:vAlign w:val="center"/>
          </w:tcPr>
          <w:p w14:paraId="32D94833">
            <w:pPr>
              <w:widowControl/>
              <w:rPr>
                <w:color w:val="000000"/>
              </w:rPr>
            </w:pPr>
            <w:r>
              <w:rPr>
                <w:rFonts w:hint="eastAsia"/>
                <w:color w:val="000000"/>
              </w:rPr>
              <w:t>　</w:t>
            </w:r>
            <w:r>
              <w:rPr>
                <w:rFonts w:hint="eastAsia" w:ascii="Times New Roman" w:hAnsi="Times New Roman" w:eastAsia="仿宋_GB2312" w:cs="Times New Roman"/>
                <w:lang w:val="en-US" w:eastAsia="zh-CN"/>
              </w:rPr>
              <w:t>档案借阅次数、电子化档案覆盖率</w:t>
            </w:r>
          </w:p>
        </w:tc>
        <w:tc>
          <w:tcPr>
            <w:tcW w:w="1140" w:type="dxa"/>
            <w:vMerge w:val="continue"/>
            <w:tcBorders>
              <w:left w:val="nil"/>
              <w:right w:val="single" w:color="auto" w:sz="4" w:space="0"/>
            </w:tcBorders>
            <w:shd w:val="clear" w:color="auto" w:fill="auto"/>
            <w:vAlign w:val="center"/>
          </w:tcPr>
          <w:p w14:paraId="41027C09">
            <w:pPr>
              <w:widowControl/>
              <w:rPr>
                <w:color w:val="000000"/>
              </w:rPr>
            </w:pPr>
          </w:p>
        </w:tc>
        <w:tc>
          <w:tcPr>
            <w:tcW w:w="900" w:type="dxa"/>
            <w:vMerge w:val="continue"/>
            <w:tcBorders>
              <w:left w:val="nil"/>
              <w:right w:val="single" w:color="auto" w:sz="4" w:space="0"/>
            </w:tcBorders>
            <w:shd w:val="clear" w:color="auto" w:fill="auto"/>
            <w:vAlign w:val="center"/>
          </w:tcPr>
          <w:p w14:paraId="1C6697E5">
            <w:pPr>
              <w:widowControl/>
              <w:rPr>
                <w:color w:val="000000"/>
              </w:rPr>
            </w:pPr>
          </w:p>
        </w:tc>
      </w:tr>
      <w:tr w14:paraId="4CD229D5">
        <w:tblPrEx>
          <w:tblCellMar>
            <w:top w:w="0" w:type="dxa"/>
            <w:left w:w="108" w:type="dxa"/>
            <w:bottom w:w="0" w:type="dxa"/>
            <w:right w:w="108" w:type="dxa"/>
          </w:tblCellMar>
        </w:tblPrEx>
        <w:trPr>
          <w:trHeight w:val="728" w:hRule="atLeast"/>
        </w:trPr>
        <w:tc>
          <w:tcPr>
            <w:tcW w:w="1288" w:type="dxa"/>
            <w:vMerge w:val="continue"/>
            <w:tcBorders>
              <w:left w:val="single" w:color="auto" w:sz="4" w:space="0"/>
              <w:bottom w:val="single" w:color="auto" w:sz="4" w:space="0"/>
              <w:right w:val="single" w:color="auto" w:sz="4" w:space="0"/>
            </w:tcBorders>
            <w:shd w:val="clear" w:color="auto" w:fill="auto"/>
            <w:vAlign w:val="center"/>
          </w:tcPr>
          <w:p w14:paraId="3E5A9D0F">
            <w:pPr>
              <w:widowControl/>
              <w:rPr>
                <w:color w:val="000000"/>
              </w:rPr>
            </w:pPr>
          </w:p>
        </w:tc>
        <w:tc>
          <w:tcPr>
            <w:tcW w:w="1320" w:type="dxa"/>
            <w:tcBorders>
              <w:top w:val="nil"/>
              <w:left w:val="nil"/>
              <w:bottom w:val="single" w:color="auto" w:sz="4" w:space="0"/>
              <w:right w:val="single" w:color="auto" w:sz="4" w:space="0"/>
            </w:tcBorders>
            <w:shd w:val="clear" w:color="auto" w:fill="auto"/>
            <w:vAlign w:val="center"/>
          </w:tcPr>
          <w:p w14:paraId="02AEEB43">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可持续影响指标</w:t>
            </w:r>
          </w:p>
        </w:tc>
        <w:tc>
          <w:tcPr>
            <w:tcW w:w="1005" w:type="dxa"/>
            <w:tcBorders>
              <w:top w:val="nil"/>
              <w:left w:val="nil"/>
              <w:bottom w:val="single" w:color="auto" w:sz="4" w:space="0"/>
              <w:right w:val="single" w:color="auto" w:sz="4" w:space="0"/>
            </w:tcBorders>
            <w:shd w:val="clear" w:color="auto" w:fill="auto"/>
            <w:vAlign w:val="center"/>
          </w:tcPr>
          <w:p w14:paraId="3DFC2307">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2730" w:type="dxa"/>
            <w:tcBorders>
              <w:top w:val="nil"/>
              <w:left w:val="nil"/>
              <w:bottom w:val="single" w:color="auto" w:sz="4" w:space="0"/>
              <w:right w:val="single" w:color="auto" w:sz="4" w:space="0"/>
            </w:tcBorders>
            <w:shd w:val="clear" w:color="auto" w:fill="auto"/>
            <w:vAlign w:val="center"/>
          </w:tcPr>
          <w:p w14:paraId="591C851D">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电子化档案管理制度的健全性5分、信息公开制度健全性5分</w:t>
            </w:r>
          </w:p>
        </w:tc>
        <w:tc>
          <w:tcPr>
            <w:tcW w:w="2430" w:type="dxa"/>
            <w:tcBorders>
              <w:top w:val="nil"/>
              <w:left w:val="nil"/>
              <w:bottom w:val="single" w:color="auto" w:sz="4" w:space="0"/>
              <w:right w:val="single" w:color="auto" w:sz="4" w:space="0"/>
            </w:tcBorders>
            <w:shd w:val="clear" w:color="auto" w:fill="auto"/>
            <w:vAlign w:val="center"/>
          </w:tcPr>
          <w:p w14:paraId="1F8D94D5">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电子化档案管理制度、信息公开制度健全</w:t>
            </w:r>
          </w:p>
        </w:tc>
        <w:tc>
          <w:tcPr>
            <w:tcW w:w="1125" w:type="dxa"/>
            <w:tcBorders>
              <w:top w:val="nil"/>
              <w:left w:val="nil"/>
              <w:bottom w:val="single" w:color="auto" w:sz="4" w:space="0"/>
              <w:right w:val="single" w:color="auto" w:sz="4" w:space="0"/>
            </w:tcBorders>
            <w:shd w:val="clear" w:color="auto" w:fill="auto"/>
            <w:vAlign w:val="center"/>
          </w:tcPr>
          <w:p w14:paraId="3A576909">
            <w:pPr>
              <w:widowControl/>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　10</w:t>
            </w:r>
          </w:p>
        </w:tc>
        <w:tc>
          <w:tcPr>
            <w:tcW w:w="1155" w:type="dxa"/>
            <w:tcBorders>
              <w:top w:val="nil"/>
              <w:left w:val="nil"/>
              <w:bottom w:val="single" w:color="auto" w:sz="4" w:space="0"/>
              <w:right w:val="single" w:color="auto" w:sz="4" w:space="0"/>
            </w:tcBorders>
            <w:shd w:val="clear" w:color="auto" w:fill="auto"/>
            <w:vAlign w:val="center"/>
          </w:tcPr>
          <w:p w14:paraId="1F536B97">
            <w:pPr>
              <w:widowControl/>
              <w:rPr>
                <w:rFonts w:hint="default" w:ascii="Times New Roman" w:hAnsi="Times New Roman" w:eastAsia="仿宋_GB2312" w:cs="Times New Roman"/>
                <w:kern w:val="2"/>
                <w:sz w:val="21"/>
                <w:szCs w:val="22"/>
                <w:lang w:eastAsia="zh-CN" w:bidi="ar-SA"/>
              </w:rPr>
            </w:pPr>
            <w:r>
              <w:rPr>
                <w:rFonts w:hint="eastAsia" w:ascii="Times New Roman" w:hAnsi="Times New Roman" w:eastAsia="仿宋_GB2312" w:cs="Times New Roman"/>
                <w:lang w:val="en-US" w:eastAsia="zh-CN"/>
              </w:rPr>
              <w:t>　</w:t>
            </w:r>
            <w:r>
              <w:rPr>
                <w:rFonts w:hint="default" w:ascii="Times New Roman" w:hAnsi="Times New Roman" w:eastAsia="仿宋_GB2312" w:cs="Times New Roman"/>
                <w:lang w:eastAsia="zh-CN"/>
              </w:rPr>
              <w:t>10</w:t>
            </w:r>
          </w:p>
        </w:tc>
        <w:tc>
          <w:tcPr>
            <w:tcW w:w="1140" w:type="dxa"/>
            <w:tcBorders>
              <w:top w:val="nil"/>
              <w:left w:val="nil"/>
              <w:bottom w:val="single" w:color="auto" w:sz="4" w:space="0"/>
              <w:right w:val="single" w:color="auto" w:sz="4" w:space="0"/>
            </w:tcBorders>
            <w:shd w:val="clear" w:color="auto" w:fill="auto"/>
            <w:vAlign w:val="center"/>
          </w:tcPr>
          <w:p w14:paraId="42CDD533">
            <w:pPr>
              <w:widowControl/>
              <w:rPr>
                <w:color w:val="000000"/>
              </w:rPr>
            </w:pPr>
            <w:r>
              <w:rPr>
                <w:rFonts w:hint="eastAsia"/>
                <w:color w:val="000000"/>
              </w:rPr>
              <w:t>　</w:t>
            </w:r>
          </w:p>
        </w:tc>
        <w:tc>
          <w:tcPr>
            <w:tcW w:w="1140" w:type="dxa"/>
            <w:vMerge w:val="continue"/>
            <w:tcBorders>
              <w:left w:val="nil"/>
              <w:right w:val="single" w:color="auto" w:sz="4" w:space="0"/>
            </w:tcBorders>
            <w:shd w:val="clear" w:color="auto" w:fill="auto"/>
            <w:vAlign w:val="center"/>
          </w:tcPr>
          <w:p w14:paraId="7690779A">
            <w:pPr>
              <w:widowControl/>
              <w:rPr>
                <w:color w:val="000000"/>
              </w:rPr>
            </w:pPr>
          </w:p>
        </w:tc>
        <w:tc>
          <w:tcPr>
            <w:tcW w:w="900" w:type="dxa"/>
            <w:vMerge w:val="continue"/>
            <w:tcBorders>
              <w:left w:val="nil"/>
              <w:right w:val="single" w:color="auto" w:sz="4" w:space="0"/>
            </w:tcBorders>
            <w:shd w:val="clear" w:color="auto" w:fill="auto"/>
            <w:vAlign w:val="center"/>
          </w:tcPr>
          <w:p w14:paraId="018E6DAD">
            <w:pPr>
              <w:widowControl/>
              <w:rPr>
                <w:color w:val="000000"/>
              </w:rPr>
            </w:pPr>
          </w:p>
        </w:tc>
      </w:tr>
      <w:tr w14:paraId="7DB6A940">
        <w:tblPrEx>
          <w:tblCellMar>
            <w:top w:w="0" w:type="dxa"/>
            <w:left w:w="108" w:type="dxa"/>
            <w:bottom w:w="0" w:type="dxa"/>
            <w:right w:w="108" w:type="dxa"/>
          </w:tblCellMar>
        </w:tblPrEx>
        <w:trPr>
          <w:trHeight w:val="728" w:hRule="atLeast"/>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3C8BC693">
            <w:pPr>
              <w:widowControl/>
              <w:rPr>
                <w:rFonts w:hint="eastAsia"/>
                <w:color w:val="000000"/>
              </w:rPr>
            </w:pPr>
            <w:r>
              <w:rPr>
                <w:rFonts w:hint="eastAsia" w:ascii="Times New Roman" w:hAnsi="Times New Roman" w:eastAsia="仿宋_GB2312" w:cs="Times New Roman"/>
                <w:lang w:val="en-US" w:eastAsia="zh-CN"/>
              </w:rPr>
              <w:t>满意度指标</w:t>
            </w:r>
          </w:p>
        </w:tc>
        <w:tc>
          <w:tcPr>
            <w:tcW w:w="1320" w:type="dxa"/>
            <w:tcBorders>
              <w:top w:val="single" w:color="auto" w:sz="4" w:space="0"/>
              <w:left w:val="nil"/>
              <w:bottom w:val="single" w:color="auto" w:sz="4" w:space="0"/>
              <w:right w:val="single" w:color="auto" w:sz="4" w:space="0"/>
            </w:tcBorders>
            <w:shd w:val="clear" w:color="auto" w:fill="auto"/>
            <w:vAlign w:val="center"/>
          </w:tcPr>
          <w:p w14:paraId="50AA768A">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满意度指标</w:t>
            </w:r>
          </w:p>
        </w:tc>
        <w:tc>
          <w:tcPr>
            <w:tcW w:w="1005" w:type="dxa"/>
            <w:tcBorders>
              <w:top w:val="single" w:color="auto" w:sz="4" w:space="0"/>
              <w:left w:val="nil"/>
              <w:bottom w:val="single" w:color="auto" w:sz="4" w:space="0"/>
              <w:right w:val="single" w:color="auto" w:sz="4" w:space="0"/>
            </w:tcBorders>
            <w:shd w:val="clear" w:color="auto" w:fill="auto"/>
            <w:vAlign w:val="center"/>
          </w:tcPr>
          <w:p w14:paraId="5E1B8CCC">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w:t>
            </w:r>
          </w:p>
        </w:tc>
        <w:tc>
          <w:tcPr>
            <w:tcW w:w="2730" w:type="dxa"/>
            <w:tcBorders>
              <w:top w:val="single" w:color="auto" w:sz="4" w:space="0"/>
              <w:left w:val="nil"/>
              <w:bottom w:val="single" w:color="auto" w:sz="4" w:space="0"/>
              <w:right w:val="single" w:color="auto" w:sz="4" w:space="0"/>
            </w:tcBorders>
            <w:shd w:val="clear" w:color="auto" w:fill="auto"/>
            <w:vAlign w:val="center"/>
          </w:tcPr>
          <w:p w14:paraId="600FC43E">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电子化档案开放利用合格率5分、社会查阅人员满意度5分</w:t>
            </w:r>
          </w:p>
        </w:tc>
        <w:tc>
          <w:tcPr>
            <w:tcW w:w="2430" w:type="dxa"/>
            <w:tcBorders>
              <w:top w:val="single" w:color="auto" w:sz="4" w:space="0"/>
              <w:left w:val="nil"/>
              <w:bottom w:val="single" w:color="auto" w:sz="4" w:space="0"/>
              <w:right w:val="single" w:color="auto" w:sz="4" w:space="0"/>
            </w:tcBorders>
            <w:shd w:val="clear" w:color="auto" w:fill="auto"/>
            <w:vAlign w:val="center"/>
          </w:tcPr>
          <w:p w14:paraId="43C5E39B">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通过调查问卷形式评价社会查阅人员满意度</w:t>
            </w:r>
          </w:p>
        </w:tc>
        <w:tc>
          <w:tcPr>
            <w:tcW w:w="1125" w:type="dxa"/>
            <w:tcBorders>
              <w:top w:val="single" w:color="auto" w:sz="4" w:space="0"/>
              <w:left w:val="nil"/>
              <w:bottom w:val="single" w:color="auto" w:sz="4" w:space="0"/>
              <w:right w:val="single" w:color="auto" w:sz="4" w:space="0"/>
            </w:tcBorders>
            <w:shd w:val="clear" w:color="auto" w:fill="auto"/>
            <w:vAlign w:val="center"/>
          </w:tcPr>
          <w:p w14:paraId="6EA6EF1F">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＞90%</w:t>
            </w:r>
          </w:p>
        </w:tc>
        <w:tc>
          <w:tcPr>
            <w:tcW w:w="1155" w:type="dxa"/>
            <w:tcBorders>
              <w:top w:val="single" w:color="auto" w:sz="4" w:space="0"/>
              <w:left w:val="nil"/>
              <w:bottom w:val="single" w:color="auto" w:sz="4" w:space="0"/>
              <w:right w:val="single" w:color="auto" w:sz="4" w:space="0"/>
            </w:tcBorders>
            <w:shd w:val="clear" w:color="auto" w:fill="auto"/>
            <w:vAlign w:val="center"/>
          </w:tcPr>
          <w:p w14:paraId="0283B40C">
            <w:pPr>
              <w:widowControl/>
              <w:jc w:val="cente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10</w:t>
            </w:r>
          </w:p>
        </w:tc>
        <w:tc>
          <w:tcPr>
            <w:tcW w:w="1140" w:type="dxa"/>
            <w:tcBorders>
              <w:top w:val="single" w:color="auto" w:sz="4" w:space="0"/>
              <w:left w:val="nil"/>
              <w:bottom w:val="single" w:color="auto" w:sz="4" w:space="0"/>
              <w:right w:val="single" w:color="auto" w:sz="4" w:space="0"/>
            </w:tcBorders>
            <w:shd w:val="clear" w:color="auto" w:fill="auto"/>
            <w:vAlign w:val="center"/>
          </w:tcPr>
          <w:p w14:paraId="70E10B33">
            <w:pPr>
              <w:widowControl/>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调查问卷</w:t>
            </w:r>
          </w:p>
        </w:tc>
        <w:tc>
          <w:tcPr>
            <w:tcW w:w="1140" w:type="dxa"/>
            <w:vMerge w:val="continue"/>
            <w:tcBorders>
              <w:left w:val="nil"/>
              <w:bottom w:val="single" w:color="auto" w:sz="4" w:space="0"/>
              <w:right w:val="single" w:color="auto" w:sz="4" w:space="0"/>
            </w:tcBorders>
            <w:shd w:val="clear" w:color="auto" w:fill="auto"/>
            <w:vAlign w:val="center"/>
          </w:tcPr>
          <w:p w14:paraId="4036C911">
            <w:pPr>
              <w:widowControl/>
              <w:rPr>
                <w:color w:val="000000"/>
              </w:rPr>
            </w:pPr>
          </w:p>
        </w:tc>
        <w:tc>
          <w:tcPr>
            <w:tcW w:w="900" w:type="dxa"/>
            <w:vMerge w:val="continue"/>
            <w:tcBorders>
              <w:left w:val="nil"/>
              <w:bottom w:val="single" w:color="auto" w:sz="4" w:space="0"/>
              <w:right w:val="single" w:color="auto" w:sz="4" w:space="0"/>
            </w:tcBorders>
            <w:shd w:val="clear" w:color="auto" w:fill="auto"/>
            <w:vAlign w:val="center"/>
          </w:tcPr>
          <w:p w14:paraId="382774A1">
            <w:pPr>
              <w:widowControl/>
              <w:rPr>
                <w:color w:val="000000"/>
              </w:rPr>
            </w:pPr>
          </w:p>
        </w:tc>
      </w:tr>
    </w:tbl>
    <w:p w14:paraId="3C298C94">
      <w:pPr>
        <w:spacing w:line="680" w:lineRule="exact"/>
        <w:sectPr>
          <w:pgSz w:w="16840" w:h="11910" w:orient="landscape"/>
          <w:pgMar w:top="1360" w:right="1320" w:bottom="1360" w:left="1600" w:header="0" w:footer="1134" w:gutter="0"/>
          <w:pgNumType w:fmt="decimal"/>
          <w:cols w:space="720" w:num="1"/>
          <w:docGrid w:linePitch="299" w:charSpace="0"/>
        </w:sectPr>
      </w:pPr>
    </w:p>
    <w:tbl>
      <w:tblPr>
        <w:tblStyle w:val="9"/>
        <w:tblW w:w="10092" w:type="dxa"/>
        <w:jc w:val="center"/>
        <w:tblLayout w:type="autofit"/>
        <w:tblCellMar>
          <w:top w:w="0" w:type="dxa"/>
          <w:left w:w="108" w:type="dxa"/>
          <w:bottom w:w="0" w:type="dxa"/>
          <w:right w:w="108" w:type="dxa"/>
        </w:tblCellMar>
      </w:tblPr>
      <w:tblGrid>
        <w:gridCol w:w="2084"/>
        <w:gridCol w:w="995"/>
        <w:gridCol w:w="3506"/>
        <w:gridCol w:w="3507"/>
      </w:tblGrid>
      <w:tr w14:paraId="08BA7926">
        <w:tblPrEx>
          <w:tblCellMar>
            <w:top w:w="0" w:type="dxa"/>
            <w:left w:w="108" w:type="dxa"/>
            <w:bottom w:w="0" w:type="dxa"/>
            <w:right w:w="108" w:type="dxa"/>
          </w:tblCellMar>
        </w:tblPrEx>
        <w:trPr>
          <w:trHeight w:val="480" w:hRule="atLeast"/>
          <w:jc w:val="center"/>
        </w:trPr>
        <w:tc>
          <w:tcPr>
            <w:tcW w:w="2084" w:type="dxa"/>
            <w:tcBorders>
              <w:top w:val="nil"/>
              <w:left w:val="nil"/>
              <w:bottom w:val="nil"/>
              <w:right w:val="nil"/>
            </w:tcBorders>
            <w:shd w:val="clear" w:color="auto" w:fill="auto"/>
            <w:noWrap/>
            <w:vAlign w:val="center"/>
          </w:tcPr>
          <w:p w14:paraId="0290A137">
            <w:pPr>
              <w:widowControl/>
              <w:jc w:val="center"/>
              <w:rPr>
                <w:rFonts w:ascii="仿宋_GB2312" w:eastAsia="仿宋_GB2312"/>
                <w:bCs/>
                <w:color w:val="000000"/>
                <w:sz w:val="32"/>
                <w:szCs w:val="32"/>
              </w:rPr>
            </w:pPr>
            <w:r>
              <w:rPr>
                <w:rFonts w:hint="eastAsia" w:ascii="仿宋_GB2312" w:eastAsia="仿宋_GB2312"/>
                <w:bCs/>
                <w:color w:val="000000"/>
                <w:sz w:val="32"/>
                <w:szCs w:val="32"/>
              </w:rPr>
              <w:t>附表2</w:t>
            </w:r>
          </w:p>
        </w:tc>
        <w:tc>
          <w:tcPr>
            <w:tcW w:w="995" w:type="dxa"/>
            <w:tcBorders>
              <w:top w:val="nil"/>
              <w:left w:val="nil"/>
              <w:bottom w:val="nil"/>
              <w:right w:val="nil"/>
            </w:tcBorders>
            <w:shd w:val="clear" w:color="auto" w:fill="auto"/>
            <w:noWrap/>
            <w:vAlign w:val="center"/>
          </w:tcPr>
          <w:p w14:paraId="397D1E68">
            <w:pPr>
              <w:widowControl/>
              <w:jc w:val="center"/>
              <w:rPr>
                <w:rFonts w:ascii="黑体" w:hAnsi="黑体" w:eastAsia="黑体"/>
                <w:color w:val="000000"/>
                <w:sz w:val="32"/>
                <w:szCs w:val="32"/>
              </w:rPr>
            </w:pPr>
          </w:p>
        </w:tc>
        <w:tc>
          <w:tcPr>
            <w:tcW w:w="3506" w:type="dxa"/>
            <w:tcBorders>
              <w:top w:val="nil"/>
              <w:left w:val="nil"/>
              <w:bottom w:val="nil"/>
              <w:right w:val="nil"/>
            </w:tcBorders>
            <w:shd w:val="clear" w:color="auto" w:fill="auto"/>
            <w:noWrap/>
            <w:vAlign w:val="center"/>
          </w:tcPr>
          <w:p w14:paraId="7B05EBD6">
            <w:pPr>
              <w:widowControl/>
              <w:jc w:val="center"/>
              <w:rPr>
                <w:rFonts w:ascii="Times New Roman" w:hAnsi="Times New Roman" w:eastAsia="Times New Roman" w:cs="Times New Roman"/>
                <w:sz w:val="20"/>
                <w:szCs w:val="20"/>
              </w:rPr>
            </w:pPr>
          </w:p>
        </w:tc>
        <w:tc>
          <w:tcPr>
            <w:tcW w:w="3507" w:type="dxa"/>
            <w:tcBorders>
              <w:top w:val="nil"/>
              <w:left w:val="nil"/>
              <w:bottom w:val="nil"/>
              <w:right w:val="nil"/>
            </w:tcBorders>
            <w:shd w:val="clear" w:color="auto" w:fill="auto"/>
            <w:noWrap/>
            <w:vAlign w:val="center"/>
          </w:tcPr>
          <w:p w14:paraId="3E4F9EE4">
            <w:pPr>
              <w:widowControl/>
              <w:jc w:val="center"/>
              <w:rPr>
                <w:rFonts w:ascii="Times New Roman" w:hAnsi="Times New Roman" w:eastAsia="Times New Roman" w:cs="Times New Roman"/>
                <w:sz w:val="20"/>
                <w:szCs w:val="20"/>
              </w:rPr>
            </w:pPr>
          </w:p>
        </w:tc>
      </w:tr>
      <w:tr w14:paraId="766A4E84">
        <w:tblPrEx>
          <w:tblCellMar>
            <w:top w:w="0" w:type="dxa"/>
            <w:left w:w="108" w:type="dxa"/>
            <w:bottom w:w="0" w:type="dxa"/>
            <w:right w:w="108" w:type="dxa"/>
          </w:tblCellMar>
        </w:tblPrEx>
        <w:trPr>
          <w:trHeight w:val="840" w:hRule="atLeast"/>
          <w:jc w:val="center"/>
        </w:trPr>
        <w:tc>
          <w:tcPr>
            <w:tcW w:w="10092" w:type="dxa"/>
            <w:gridSpan w:val="4"/>
            <w:tcBorders>
              <w:top w:val="nil"/>
              <w:left w:val="nil"/>
              <w:bottom w:val="nil"/>
              <w:right w:val="nil"/>
            </w:tcBorders>
            <w:shd w:val="clear" w:color="auto" w:fill="auto"/>
            <w:noWrap/>
            <w:vAlign w:val="center"/>
          </w:tcPr>
          <w:p w14:paraId="2640A426">
            <w:pPr>
              <w:widowControl/>
              <w:jc w:val="center"/>
              <w:rPr>
                <w:rFonts w:ascii="宋体" w:hAnsi="宋体" w:eastAsia="宋体"/>
                <w:b/>
                <w:sz w:val="44"/>
                <w:szCs w:val="44"/>
              </w:rPr>
            </w:pPr>
            <w:r>
              <w:rPr>
                <w:rFonts w:hint="default" w:ascii="宋体" w:hAnsi="宋体" w:eastAsia="宋体"/>
                <w:b/>
                <w:sz w:val="44"/>
                <w:szCs w:val="44"/>
              </w:rPr>
              <w:t>档案资料数字化建设经费</w:t>
            </w:r>
            <w:r>
              <w:rPr>
                <w:rFonts w:hint="eastAsia" w:ascii="宋体" w:hAnsi="宋体" w:eastAsia="宋体"/>
                <w:b/>
                <w:sz w:val="44"/>
                <w:szCs w:val="44"/>
              </w:rPr>
              <w:t>项目问题清单</w:t>
            </w:r>
          </w:p>
        </w:tc>
      </w:tr>
      <w:tr w14:paraId="6D243309">
        <w:tblPrEx>
          <w:tblCellMar>
            <w:top w:w="0" w:type="dxa"/>
            <w:left w:w="108" w:type="dxa"/>
            <w:bottom w:w="0" w:type="dxa"/>
            <w:right w:w="108" w:type="dxa"/>
          </w:tblCellMar>
        </w:tblPrEx>
        <w:trPr>
          <w:trHeight w:val="714" w:hRule="atLeast"/>
          <w:jc w:val="center"/>
        </w:trPr>
        <w:tc>
          <w:tcPr>
            <w:tcW w:w="20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18299">
            <w:pPr>
              <w:widowControl/>
              <w:jc w:val="center"/>
              <w:rPr>
                <w:b/>
                <w:bCs/>
                <w:color w:val="000000"/>
                <w:sz w:val="28"/>
                <w:szCs w:val="28"/>
              </w:rPr>
            </w:pPr>
            <w:r>
              <w:rPr>
                <w:rFonts w:hint="eastAsia"/>
                <w:b/>
                <w:bCs/>
                <w:color w:val="000000"/>
                <w:sz w:val="28"/>
                <w:szCs w:val="28"/>
              </w:rPr>
              <w:t>问题分类</w:t>
            </w:r>
          </w:p>
        </w:tc>
        <w:tc>
          <w:tcPr>
            <w:tcW w:w="995" w:type="dxa"/>
            <w:tcBorders>
              <w:top w:val="single" w:color="auto" w:sz="4" w:space="0"/>
              <w:left w:val="nil"/>
              <w:bottom w:val="single" w:color="auto" w:sz="4" w:space="0"/>
              <w:right w:val="single" w:color="auto" w:sz="4" w:space="0"/>
            </w:tcBorders>
            <w:shd w:val="clear" w:color="auto" w:fill="auto"/>
            <w:noWrap/>
            <w:vAlign w:val="center"/>
          </w:tcPr>
          <w:p w14:paraId="4911C791">
            <w:pPr>
              <w:widowControl/>
              <w:jc w:val="center"/>
              <w:rPr>
                <w:b/>
                <w:bCs/>
                <w:color w:val="000000"/>
                <w:sz w:val="28"/>
                <w:szCs w:val="28"/>
              </w:rPr>
            </w:pPr>
            <w:r>
              <w:rPr>
                <w:rFonts w:hint="eastAsia"/>
                <w:b/>
                <w:bCs/>
                <w:color w:val="000000"/>
                <w:sz w:val="28"/>
                <w:szCs w:val="28"/>
              </w:rPr>
              <w:t>序号</w:t>
            </w:r>
          </w:p>
        </w:tc>
        <w:tc>
          <w:tcPr>
            <w:tcW w:w="3506" w:type="dxa"/>
            <w:tcBorders>
              <w:top w:val="single" w:color="auto" w:sz="4" w:space="0"/>
              <w:left w:val="nil"/>
              <w:bottom w:val="single" w:color="auto" w:sz="4" w:space="0"/>
              <w:right w:val="single" w:color="auto" w:sz="4" w:space="0"/>
            </w:tcBorders>
            <w:shd w:val="clear" w:color="auto" w:fill="auto"/>
            <w:noWrap/>
            <w:vAlign w:val="center"/>
          </w:tcPr>
          <w:p w14:paraId="5822D185">
            <w:pPr>
              <w:widowControl/>
              <w:jc w:val="center"/>
              <w:rPr>
                <w:b/>
                <w:bCs/>
                <w:color w:val="000000"/>
                <w:sz w:val="28"/>
                <w:szCs w:val="28"/>
              </w:rPr>
            </w:pPr>
            <w:r>
              <w:rPr>
                <w:rFonts w:hint="eastAsia"/>
                <w:b/>
                <w:bCs/>
                <w:color w:val="000000"/>
                <w:sz w:val="28"/>
                <w:szCs w:val="28"/>
              </w:rPr>
              <w:t>项目责任单位</w:t>
            </w:r>
          </w:p>
        </w:tc>
        <w:tc>
          <w:tcPr>
            <w:tcW w:w="3507" w:type="dxa"/>
            <w:tcBorders>
              <w:top w:val="single" w:color="auto" w:sz="4" w:space="0"/>
              <w:left w:val="nil"/>
              <w:bottom w:val="single" w:color="auto" w:sz="4" w:space="0"/>
              <w:right w:val="single" w:color="auto" w:sz="4" w:space="0"/>
            </w:tcBorders>
            <w:shd w:val="clear" w:color="auto" w:fill="auto"/>
            <w:noWrap/>
            <w:vAlign w:val="center"/>
          </w:tcPr>
          <w:p w14:paraId="5765CF9C">
            <w:pPr>
              <w:widowControl/>
              <w:jc w:val="center"/>
              <w:rPr>
                <w:b/>
                <w:bCs/>
                <w:color w:val="000000"/>
                <w:sz w:val="28"/>
                <w:szCs w:val="28"/>
              </w:rPr>
            </w:pPr>
            <w:r>
              <w:rPr>
                <w:rFonts w:hint="eastAsia"/>
                <w:b/>
                <w:bCs/>
                <w:color w:val="000000"/>
                <w:sz w:val="28"/>
                <w:szCs w:val="28"/>
              </w:rPr>
              <w:t>问题描述</w:t>
            </w:r>
          </w:p>
        </w:tc>
      </w:tr>
      <w:tr w14:paraId="11AD5542">
        <w:tblPrEx>
          <w:tblCellMar>
            <w:top w:w="0" w:type="dxa"/>
            <w:left w:w="108" w:type="dxa"/>
            <w:bottom w:w="0" w:type="dxa"/>
            <w:right w:w="108" w:type="dxa"/>
          </w:tblCellMar>
        </w:tblPrEx>
        <w:trPr>
          <w:trHeight w:val="1314" w:hRule="atLeast"/>
          <w:jc w:val="center"/>
        </w:trPr>
        <w:tc>
          <w:tcPr>
            <w:tcW w:w="2084" w:type="dxa"/>
            <w:tcBorders>
              <w:top w:val="nil"/>
              <w:left w:val="single" w:color="auto" w:sz="4" w:space="0"/>
              <w:bottom w:val="single" w:color="auto" w:sz="4" w:space="0"/>
              <w:right w:val="single" w:color="auto" w:sz="4" w:space="0"/>
            </w:tcBorders>
            <w:shd w:val="clear" w:color="auto" w:fill="auto"/>
            <w:vAlign w:val="center"/>
          </w:tcPr>
          <w:p w14:paraId="4DFECE91">
            <w:pPr>
              <w:widowControl/>
              <w:rPr>
                <w:rFonts w:ascii="仿宋" w:hAnsi="仿宋" w:eastAsia="仿宋"/>
                <w:color w:val="000000"/>
                <w:sz w:val="24"/>
                <w:szCs w:val="24"/>
              </w:rPr>
            </w:pPr>
            <w:r>
              <w:rPr>
                <w:rFonts w:hint="eastAsia" w:ascii="仿宋" w:hAnsi="仿宋" w:eastAsia="仿宋"/>
                <w:color w:val="000000"/>
                <w:sz w:val="24"/>
                <w:szCs w:val="24"/>
              </w:rPr>
              <w:t>项目决策方面存在的问题</w:t>
            </w:r>
          </w:p>
        </w:tc>
        <w:tc>
          <w:tcPr>
            <w:tcW w:w="995" w:type="dxa"/>
            <w:tcBorders>
              <w:top w:val="nil"/>
              <w:left w:val="nil"/>
              <w:bottom w:val="single" w:color="auto" w:sz="4" w:space="0"/>
              <w:right w:val="single" w:color="auto" w:sz="4" w:space="0"/>
            </w:tcBorders>
            <w:shd w:val="clear" w:color="auto" w:fill="auto"/>
            <w:noWrap/>
            <w:vAlign w:val="center"/>
          </w:tcPr>
          <w:p w14:paraId="18A88546">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14:paraId="01998C3D">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14:paraId="04858A02">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14:paraId="2A32369F">
        <w:tblPrEx>
          <w:tblCellMar>
            <w:top w:w="0" w:type="dxa"/>
            <w:left w:w="108" w:type="dxa"/>
            <w:bottom w:w="0" w:type="dxa"/>
            <w:right w:w="108" w:type="dxa"/>
          </w:tblCellMar>
        </w:tblPrEx>
        <w:trPr>
          <w:trHeight w:val="135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14:paraId="3158BDCC">
            <w:pPr>
              <w:widowControl/>
              <w:rPr>
                <w:rFonts w:ascii="仿宋" w:hAnsi="仿宋" w:eastAsia="仿宋"/>
                <w:color w:val="000000"/>
                <w:sz w:val="24"/>
                <w:szCs w:val="24"/>
              </w:rPr>
            </w:pPr>
            <w:r>
              <w:rPr>
                <w:rFonts w:hint="eastAsia" w:ascii="仿宋" w:hAnsi="仿宋" w:eastAsia="仿宋"/>
                <w:color w:val="000000"/>
                <w:sz w:val="24"/>
                <w:szCs w:val="24"/>
              </w:rPr>
              <w:t>资金管理方面存在的问题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14:paraId="76F119AB">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14:paraId="5DFC36D9">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14:paraId="3A6C70F6">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14:paraId="276CAF3A">
        <w:tblPrEx>
          <w:tblCellMar>
            <w:top w:w="0" w:type="dxa"/>
            <w:left w:w="108" w:type="dxa"/>
            <w:bottom w:w="0" w:type="dxa"/>
            <w:right w:w="108" w:type="dxa"/>
          </w:tblCellMar>
        </w:tblPrEx>
        <w:trPr>
          <w:trHeight w:val="138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14:paraId="16327C0A">
            <w:pPr>
              <w:widowControl/>
              <w:rPr>
                <w:rFonts w:ascii="仿宋" w:hAnsi="仿宋" w:eastAsia="仿宋"/>
                <w:color w:val="000000"/>
                <w:sz w:val="24"/>
                <w:szCs w:val="24"/>
              </w:rPr>
            </w:pPr>
            <w:r>
              <w:rPr>
                <w:rFonts w:hint="eastAsia" w:ascii="仿宋" w:hAnsi="仿宋" w:eastAsia="仿宋"/>
                <w:color w:val="000000"/>
                <w:sz w:val="24"/>
                <w:szCs w:val="24"/>
              </w:rPr>
              <w:t>项目实施方面存在的问题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14:paraId="0696AC73">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14:paraId="385B0372">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507" w:type="dxa"/>
            <w:tcBorders>
              <w:top w:val="nil"/>
              <w:left w:val="nil"/>
              <w:bottom w:val="single" w:color="auto" w:sz="4" w:space="0"/>
              <w:right w:val="single" w:color="auto" w:sz="4" w:space="0"/>
            </w:tcBorders>
            <w:shd w:val="clear" w:color="auto" w:fill="auto"/>
            <w:noWrap/>
            <w:vAlign w:val="center"/>
          </w:tcPr>
          <w:p w14:paraId="7934FB02">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14:paraId="14AC4675">
        <w:tblPrEx>
          <w:tblCellMar>
            <w:top w:w="0" w:type="dxa"/>
            <w:left w:w="108" w:type="dxa"/>
            <w:bottom w:w="0" w:type="dxa"/>
            <w:right w:w="108" w:type="dxa"/>
          </w:tblCellMar>
        </w:tblPrEx>
        <w:trPr>
          <w:trHeight w:val="2739"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14:paraId="681A5818">
            <w:pPr>
              <w:widowControl/>
              <w:rPr>
                <w:rFonts w:ascii="仿宋" w:hAnsi="仿宋" w:eastAsia="仿宋"/>
                <w:color w:val="000000"/>
                <w:sz w:val="24"/>
                <w:szCs w:val="24"/>
              </w:rPr>
            </w:pPr>
            <w:r>
              <w:rPr>
                <w:rFonts w:hint="eastAsia" w:ascii="仿宋" w:hAnsi="仿宋" w:eastAsia="仿宋"/>
                <w:color w:val="000000"/>
                <w:sz w:val="24"/>
                <w:szCs w:val="24"/>
              </w:rPr>
              <w:t>项目产出方面存在的问题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14:paraId="0C5B0753">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14:paraId="0F9F54F6">
            <w:pPr>
              <w:widowControl/>
              <w:jc w:val="center"/>
              <w:rPr>
                <w:rFonts w:hint="eastAsia"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507" w:type="dxa"/>
            <w:tcBorders>
              <w:top w:val="nil"/>
              <w:left w:val="nil"/>
              <w:bottom w:val="single" w:color="auto" w:sz="4" w:space="0"/>
              <w:right w:val="single" w:color="auto" w:sz="4" w:space="0"/>
            </w:tcBorders>
            <w:shd w:val="clear" w:color="auto" w:fill="auto"/>
            <w:noWrap/>
            <w:vAlign w:val="center"/>
          </w:tcPr>
          <w:p w14:paraId="68E6FDB0">
            <w:pPr>
              <w:widowControl/>
              <w:jc w:val="both"/>
              <w:rPr>
                <w:rFonts w:ascii="仿宋" w:hAnsi="仿宋" w:eastAsia="仿宋" w:cstheme="minorBidi"/>
                <w:color w:val="000000"/>
                <w:kern w:val="2"/>
                <w:sz w:val="21"/>
                <w:szCs w:val="22"/>
                <w:lang w:val="en-US" w:eastAsia="zh-CN" w:bidi="ar-SA"/>
              </w:rPr>
            </w:pPr>
            <w:r>
              <w:rPr>
                <w:rFonts w:hint="eastAsia" w:ascii="仿宋" w:hAnsi="仿宋" w:eastAsia="仿宋"/>
                <w:color w:val="000000"/>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　</w:t>
            </w:r>
          </w:p>
        </w:tc>
      </w:tr>
      <w:tr w14:paraId="68B6C7B5">
        <w:tblPrEx>
          <w:tblCellMar>
            <w:top w:w="0" w:type="dxa"/>
            <w:left w:w="108" w:type="dxa"/>
            <w:bottom w:w="0" w:type="dxa"/>
            <w:right w:w="108" w:type="dxa"/>
          </w:tblCellMar>
        </w:tblPrEx>
        <w:trPr>
          <w:trHeight w:val="1803"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14:paraId="6C1B5C45">
            <w:pPr>
              <w:widowControl/>
              <w:rPr>
                <w:rFonts w:ascii="仿宋" w:hAnsi="仿宋" w:eastAsia="仿宋"/>
                <w:color w:val="000000"/>
                <w:sz w:val="24"/>
                <w:szCs w:val="24"/>
              </w:rPr>
            </w:pPr>
            <w:r>
              <w:rPr>
                <w:rFonts w:hint="eastAsia" w:ascii="仿宋" w:hAnsi="仿宋" w:eastAsia="仿宋"/>
                <w:color w:val="000000"/>
                <w:sz w:val="24"/>
                <w:szCs w:val="24"/>
              </w:rPr>
              <w:t>项目效益方面存在的问题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14:paraId="06906098">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14:paraId="79C92F07">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rPr>
              <w:t>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14:paraId="5182F263">
            <w:pPr>
              <w:widowControl/>
              <w:jc w:val="both"/>
              <w:rPr>
                <w:rFonts w:ascii="仿宋" w:hAnsi="仿宋" w:eastAsia="仿宋" w:cstheme="minorBidi"/>
                <w:color w:val="000000"/>
                <w:kern w:val="2"/>
                <w:sz w:val="21"/>
                <w:szCs w:val="22"/>
                <w:lang w:val="en-US" w:eastAsia="zh-CN" w:bidi="ar-SA"/>
              </w:rPr>
            </w:pPr>
            <w:r>
              <w:rPr>
                <w:rFonts w:hint="eastAsia" w:ascii="仿宋" w:hAnsi="仿宋" w:eastAsia="仿宋"/>
                <w:color w:val="000000"/>
              </w:rPr>
              <w:t>档案数字化主要实现社会效益为主，为党政机关和人民群众提供查档便利，同时保护档案原件。此项工作本身不直接产生经济效益。　</w:t>
            </w:r>
          </w:p>
        </w:tc>
      </w:tr>
      <w:tr w14:paraId="043CA6DD">
        <w:tblPrEx>
          <w:tblCellMar>
            <w:top w:w="0" w:type="dxa"/>
            <w:left w:w="108" w:type="dxa"/>
            <w:bottom w:w="0" w:type="dxa"/>
            <w:right w:w="108" w:type="dxa"/>
          </w:tblCellMar>
        </w:tblPrEx>
        <w:trPr>
          <w:trHeight w:val="1050" w:hRule="atLeast"/>
          <w:jc w:val="center"/>
        </w:trPr>
        <w:tc>
          <w:tcPr>
            <w:tcW w:w="2084" w:type="dxa"/>
            <w:tcBorders>
              <w:top w:val="nil"/>
              <w:left w:val="single" w:color="auto" w:sz="4" w:space="0"/>
              <w:bottom w:val="single" w:color="auto" w:sz="4" w:space="0"/>
              <w:right w:val="single" w:color="auto" w:sz="4" w:space="0"/>
            </w:tcBorders>
            <w:shd w:val="clear" w:color="auto" w:fill="auto"/>
            <w:noWrap/>
            <w:vAlign w:val="center"/>
          </w:tcPr>
          <w:p w14:paraId="486459A2">
            <w:pPr>
              <w:widowControl/>
              <w:rPr>
                <w:rFonts w:ascii="仿宋" w:hAnsi="仿宋" w:eastAsia="仿宋"/>
                <w:color w:val="000000"/>
                <w:sz w:val="24"/>
                <w:szCs w:val="24"/>
              </w:rPr>
            </w:pPr>
            <w:r>
              <w:rPr>
                <w:rFonts w:hint="eastAsia" w:ascii="仿宋" w:hAnsi="仿宋" w:eastAsia="仿宋"/>
                <w:color w:val="000000"/>
                <w:sz w:val="24"/>
                <w:szCs w:val="24"/>
              </w:rPr>
              <w:t>其他问题</w:t>
            </w:r>
          </w:p>
        </w:tc>
        <w:tc>
          <w:tcPr>
            <w:tcW w:w="995" w:type="dxa"/>
            <w:tcBorders>
              <w:top w:val="single" w:color="auto" w:sz="4" w:space="0"/>
              <w:left w:val="nil"/>
              <w:bottom w:val="single" w:color="auto" w:sz="4" w:space="0"/>
              <w:right w:val="single" w:color="auto" w:sz="4" w:space="0"/>
            </w:tcBorders>
            <w:shd w:val="clear" w:color="auto" w:fill="auto"/>
            <w:noWrap/>
            <w:vAlign w:val="center"/>
          </w:tcPr>
          <w:p w14:paraId="65466971">
            <w:pPr>
              <w:widowControl/>
              <w:jc w:val="center"/>
              <w:rPr>
                <w:rFonts w:ascii="仿宋" w:hAnsi="仿宋" w:eastAsia="仿宋"/>
                <w:color w:val="000000"/>
              </w:rPr>
            </w:pPr>
            <w:r>
              <w:rPr>
                <w:rFonts w:hint="eastAsia" w:ascii="仿宋" w:hAnsi="仿宋" w:eastAsia="仿宋"/>
                <w:color w:val="000000"/>
              </w:rPr>
              <w:t>1</w:t>
            </w:r>
          </w:p>
        </w:tc>
        <w:tc>
          <w:tcPr>
            <w:tcW w:w="3506" w:type="dxa"/>
            <w:tcBorders>
              <w:top w:val="nil"/>
              <w:left w:val="nil"/>
              <w:bottom w:val="single" w:color="auto" w:sz="4" w:space="0"/>
              <w:right w:val="single" w:color="auto" w:sz="4" w:space="0"/>
            </w:tcBorders>
            <w:shd w:val="clear" w:color="auto" w:fill="auto"/>
            <w:noWrap/>
            <w:vAlign w:val="center"/>
          </w:tcPr>
          <w:p w14:paraId="0B87B486">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电子文件管理处</w:t>
            </w:r>
            <w:r>
              <w:rPr>
                <w:rFonts w:hint="eastAsia" w:ascii="仿宋" w:hAnsi="仿宋" w:eastAsia="仿宋"/>
                <w:color w:val="000000"/>
              </w:rPr>
              <w:t>　</w:t>
            </w:r>
          </w:p>
        </w:tc>
        <w:tc>
          <w:tcPr>
            <w:tcW w:w="3507" w:type="dxa"/>
            <w:tcBorders>
              <w:top w:val="nil"/>
              <w:left w:val="nil"/>
              <w:bottom w:val="single" w:color="auto" w:sz="4" w:space="0"/>
              <w:right w:val="single" w:color="auto" w:sz="4" w:space="0"/>
            </w:tcBorders>
            <w:shd w:val="clear" w:color="auto" w:fill="auto"/>
            <w:noWrap/>
            <w:vAlign w:val="center"/>
          </w:tcPr>
          <w:p w14:paraId="4B9ACE9F">
            <w:pPr>
              <w:widowControl/>
              <w:jc w:val="center"/>
              <w:rPr>
                <w:rFonts w:ascii="仿宋" w:hAnsi="仿宋" w:eastAsia="仿宋" w:cstheme="minorBidi"/>
                <w:color w:val="000000"/>
                <w:kern w:val="2"/>
                <w:sz w:val="21"/>
                <w:szCs w:val="22"/>
                <w:lang w:val="en-US" w:eastAsia="zh-CN" w:bidi="ar-SA"/>
              </w:rPr>
            </w:pPr>
            <w:r>
              <w:rPr>
                <w:rFonts w:hint="eastAsia" w:ascii="仿宋" w:hAnsi="仿宋" w:eastAsia="仿宋"/>
                <w:color w:val="000000"/>
                <w:lang w:eastAsia="zh-CN"/>
              </w:rPr>
              <w:t>无</w:t>
            </w:r>
            <w:r>
              <w:rPr>
                <w:rFonts w:hint="eastAsia" w:ascii="仿宋" w:hAnsi="仿宋" w:eastAsia="仿宋"/>
                <w:color w:val="000000"/>
              </w:rPr>
              <w:t>　　</w:t>
            </w:r>
          </w:p>
        </w:tc>
      </w:tr>
      <w:tr w14:paraId="09AE75D5">
        <w:tblPrEx>
          <w:tblCellMar>
            <w:top w:w="0" w:type="dxa"/>
            <w:left w:w="108" w:type="dxa"/>
            <w:bottom w:w="0" w:type="dxa"/>
            <w:right w:w="108" w:type="dxa"/>
          </w:tblCellMar>
        </w:tblPrEx>
        <w:trPr>
          <w:trHeight w:val="529" w:hRule="atLeast"/>
          <w:jc w:val="center"/>
        </w:trPr>
        <w:tc>
          <w:tcPr>
            <w:tcW w:w="10092" w:type="dxa"/>
            <w:gridSpan w:val="4"/>
            <w:tcBorders>
              <w:top w:val="nil"/>
              <w:left w:val="single" w:color="auto" w:sz="4" w:space="0"/>
              <w:bottom w:val="single" w:color="auto" w:sz="4" w:space="0"/>
              <w:right w:val="single" w:color="auto" w:sz="4" w:space="0"/>
            </w:tcBorders>
            <w:shd w:val="clear" w:color="auto" w:fill="auto"/>
            <w:noWrap/>
            <w:vAlign w:val="center"/>
          </w:tcPr>
          <w:p w14:paraId="35E86B67">
            <w:pPr>
              <w:widowControl/>
              <w:rPr>
                <w:rFonts w:ascii="仿宋" w:hAnsi="仿宋" w:eastAsia="仿宋"/>
                <w:color w:val="000000"/>
                <w:sz w:val="32"/>
                <w:szCs w:val="32"/>
              </w:rPr>
            </w:pPr>
            <w:r>
              <w:rPr>
                <w:rFonts w:hint="eastAsia" w:ascii="仿宋" w:hAnsi="仿宋" w:eastAsia="仿宋"/>
                <w:b/>
                <w:bCs/>
                <w:color w:val="000000"/>
                <w:sz w:val="32"/>
                <w:szCs w:val="32"/>
              </w:rPr>
              <w:t>备注：</w:t>
            </w:r>
            <w:r>
              <w:rPr>
                <w:rFonts w:hint="eastAsia" w:ascii="仿宋" w:hAnsi="仿宋" w:eastAsia="仿宋"/>
                <w:color w:val="000000"/>
                <w:sz w:val="32"/>
                <w:szCs w:val="32"/>
              </w:rPr>
              <w:t>　</w:t>
            </w:r>
          </w:p>
        </w:tc>
      </w:tr>
    </w:tbl>
    <w:p w14:paraId="0AB9C0BB">
      <w:pPr>
        <w:spacing w:line="680" w:lineRule="exact"/>
        <w:rPr>
          <w:rFonts w:ascii="黑体" w:eastAsia="黑体"/>
          <w:sz w:val="32"/>
          <w:szCs w:val="32"/>
        </w:rPr>
      </w:pPr>
    </w:p>
    <w:sectPr>
      <w:footerReference r:id="rId5" w:type="default"/>
      <w:pgSz w:w="11906" w:h="16838"/>
      <w:pgMar w:top="1701" w:right="1701" w:bottom="1701" w:left="181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4E09">
    <w:pPr>
      <w:pStyle w:val="6"/>
      <w:jc w:val="center"/>
    </w:pPr>
  </w:p>
  <w:p w14:paraId="352B868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46157">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04723576"/>
                            <w:docPartObj>
                              <w:docPartGallery w:val="autotext"/>
                            </w:docPartObj>
                          </w:sdtPr>
                          <w:sdtContent>
                            <w:p w14:paraId="2BE2EB29">
                              <w:pPr>
                                <w:pStyle w:val="6"/>
                                <w:jc w:val="center"/>
                              </w:pPr>
                              <w:r>
                                <w:fldChar w:fldCharType="begin"/>
                              </w:r>
                              <w:r>
                                <w:instrText xml:space="preserve">PAGE   \* MERGEFORMAT</w:instrText>
                              </w:r>
                              <w:r>
                                <w:fldChar w:fldCharType="separate"/>
                              </w:r>
                              <w:r>
                                <w:rPr>
                                  <w:lang w:val="zh-CN"/>
                                </w:rPr>
                                <w:t>12</w:t>
                              </w:r>
                              <w:r>
                                <w:fldChar w:fldCharType="end"/>
                              </w:r>
                            </w:p>
                          </w:sdtContent>
                        </w:sdt>
                        <w:p w14:paraId="5655A8A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04723576"/>
                      <w:docPartObj>
                        <w:docPartGallery w:val="autotext"/>
                      </w:docPartObj>
                    </w:sdtPr>
                    <w:sdtContent>
                      <w:p w14:paraId="2BE2EB29">
                        <w:pPr>
                          <w:pStyle w:val="6"/>
                          <w:jc w:val="center"/>
                        </w:pPr>
                        <w:r>
                          <w:fldChar w:fldCharType="begin"/>
                        </w:r>
                        <w:r>
                          <w:instrText xml:space="preserve">PAGE   \* MERGEFORMAT</w:instrText>
                        </w:r>
                        <w:r>
                          <w:fldChar w:fldCharType="separate"/>
                        </w:r>
                        <w:r>
                          <w:rPr>
                            <w:lang w:val="zh-CN"/>
                          </w:rPr>
                          <w:t>12</w:t>
                        </w:r>
                        <w:r>
                          <w:fldChar w:fldCharType="end"/>
                        </w:r>
                      </w:p>
                    </w:sdtContent>
                  </w:sdt>
                  <w:p w14:paraId="5655A8A3"/>
                </w:txbxContent>
              </v:textbox>
            </v:shape>
          </w:pict>
        </mc:Fallback>
      </mc:AlternateContent>
    </w:r>
  </w:p>
  <w:p w14:paraId="1CADAA2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615E">
    <w:pPr>
      <w:pStyle w:val="6"/>
      <w:jc w:val="center"/>
      <w:rPr>
        <w:rFonts w:asciiTheme="minorEastAsia" w:hAnsi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7839964"/>
                          </w:sdtPr>
                          <w:sdtEndPr>
                            <w:rPr>
                              <w:rFonts w:asciiTheme="minorEastAsia" w:hAnsiTheme="minorEastAsia"/>
                              <w:sz w:val="24"/>
                              <w:szCs w:val="24"/>
                            </w:rPr>
                          </w:sdtEndPr>
                          <w:sdtContent>
                            <w:p w14:paraId="292B20A4">
                              <w:pPr>
                                <w:pStyle w:val="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14 -</w:t>
                              </w:r>
                              <w:r>
                                <w:rPr>
                                  <w:rFonts w:asciiTheme="minorEastAsia" w:hAnsiTheme="minorEastAsia"/>
                                  <w:sz w:val="24"/>
                                  <w:szCs w:val="24"/>
                                </w:rPr>
                                <w:fldChar w:fldCharType="end"/>
                              </w:r>
                            </w:p>
                          </w:sdtContent>
                        </w:sdt>
                        <w:p w14:paraId="0E7750A7">
                          <w:pPr>
                            <w:rPr>
                              <w:rFonts w:asciiTheme="minorEastAsia" w:hAnsi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227839964"/>
                    </w:sdtPr>
                    <w:sdtEndPr>
                      <w:rPr>
                        <w:rFonts w:asciiTheme="minorEastAsia" w:hAnsiTheme="minorEastAsia"/>
                        <w:sz w:val="24"/>
                        <w:szCs w:val="24"/>
                      </w:rPr>
                    </w:sdtEndPr>
                    <w:sdtContent>
                      <w:p w14:paraId="292B20A4">
                        <w:pPr>
                          <w:pStyle w:val="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14 -</w:t>
                        </w:r>
                        <w:r>
                          <w:rPr>
                            <w:rFonts w:asciiTheme="minorEastAsia" w:hAnsiTheme="minorEastAsia"/>
                            <w:sz w:val="24"/>
                            <w:szCs w:val="24"/>
                          </w:rPr>
                          <w:fldChar w:fldCharType="end"/>
                        </w:r>
                      </w:p>
                    </w:sdtContent>
                  </w:sdt>
                  <w:p w14:paraId="0E7750A7">
                    <w:pPr>
                      <w:rPr>
                        <w:rFonts w:asciiTheme="minorEastAsia" w:hAnsiTheme="minorEastAsia"/>
                        <w:sz w:val="24"/>
                        <w:szCs w:val="24"/>
                      </w:rPr>
                    </w:pPr>
                  </w:p>
                </w:txbxContent>
              </v:textbox>
            </v:shape>
          </w:pict>
        </mc:Fallback>
      </mc:AlternateContent>
    </w:r>
  </w:p>
  <w:p w14:paraId="4D560CF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CA4F1"/>
    <w:multiLevelType w:val="singleLevel"/>
    <w:tmpl w:val="9F9CA4F1"/>
    <w:lvl w:ilvl="0" w:tentative="0">
      <w:start w:val="1"/>
      <w:numFmt w:val="decimal"/>
      <w:suff w:val="nothing"/>
      <w:lvlText w:val="%1、"/>
      <w:lvlJc w:val="left"/>
    </w:lvl>
  </w:abstractNum>
  <w:abstractNum w:abstractNumId="1">
    <w:nsid w:val="BAD7E39D"/>
    <w:multiLevelType w:val="singleLevel"/>
    <w:tmpl w:val="BAD7E39D"/>
    <w:lvl w:ilvl="0" w:tentative="0">
      <w:start w:val="2"/>
      <w:numFmt w:val="decimal"/>
      <w:suff w:val="nothing"/>
      <w:lvlText w:val="（%1）"/>
      <w:lvlJc w:val="left"/>
    </w:lvl>
  </w:abstractNum>
  <w:abstractNum w:abstractNumId="2">
    <w:nsid w:val="21B0306D"/>
    <w:multiLevelType w:val="singleLevel"/>
    <w:tmpl w:val="21B0306D"/>
    <w:lvl w:ilvl="0" w:tentative="0">
      <w:start w:val="1"/>
      <w:numFmt w:val="decimal"/>
      <w:suff w:val="nothing"/>
      <w:lvlText w:val="%1、"/>
      <w:lvlJc w:val="left"/>
    </w:lvl>
  </w:abstractNum>
  <w:abstractNum w:abstractNumId="3">
    <w:nsid w:val="56BBB8C5"/>
    <w:multiLevelType w:val="singleLevel"/>
    <w:tmpl w:val="56BBB8C5"/>
    <w:lvl w:ilvl="0" w:tentative="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MTM2YTU5MzJmZDE2NTU2YzNjMzNiNjE3YTVmNTcifQ=="/>
  </w:docVars>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F0D"/>
    <w:rsid w:val="00D71811"/>
    <w:rsid w:val="00D72CE9"/>
    <w:rsid w:val="00D82751"/>
    <w:rsid w:val="00D839A5"/>
    <w:rsid w:val="00D92DC5"/>
    <w:rsid w:val="00DA46E4"/>
    <w:rsid w:val="00DA4DD2"/>
    <w:rsid w:val="00DB49D1"/>
    <w:rsid w:val="00DC0D79"/>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2183757"/>
    <w:rsid w:val="02183BB1"/>
    <w:rsid w:val="02E66B31"/>
    <w:rsid w:val="03044901"/>
    <w:rsid w:val="03821772"/>
    <w:rsid w:val="05230EF2"/>
    <w:rsid w:val="05857A61"/>
    <w:rsid w:val="068337EB"/>
    <w:rsid w:val="06C453DB"/>
    <w:rsid w:val="071C688E"/>
    <w:rsid w:val="087910DE"/>
    <w:rsid w:val="089543BB"/>
    <w:rsid w:val="09616B2A"/>
    <w:rsid w:val="097F258D"/>
    <w:rsid w:val="0A4532DC"/>
    <w:rsid w:val="0A75644C"/>
    <w:rsid w:val="0A8E01DA"/>
    <w:rsid w:val="0A8E730E"/>
    <w:rsid w:val="0B790748"/>
    <w:rsid w:val="0D2214BD"/>
    <w:rsid w:val="0D2E3ED3"/>
    <w:rsid w:val="0E520C3D"/>
    <w:rsid w:val="10717EE8"/>
    <w:rsid w:val="10DB2EC7"/>
    <w:rsid w:val="10ED5DCB"/>
    <w:rsid w:val="12257070"/>
    <w:rsid w:val="135E5FEB"/>
    <w:rsid w:val="147321EF"/>
    <w:rsid w:val="162F753B"/>
    <w:rsid w:val="163377EF"/>
    <w:rsid w:val="16AA2630"/>
    <w:rsid w:val="16F1570B"/>
    <w:rsid w:val="17FCEB09"/>
    <w:rsid w:val="180A26BC"/>
    <w:rsid w:val="184A278F"/>
    <w:rsid w:val="185502A0"/>
    <w:rsid w:val="1B726205"/>
    <w:rsid w:val="1C40168A"/>
    <w:rsid w:val="1DA02FE1"/>
    <w:rsid w:val="1E9D72A1"/>
    <w:rsid w:val="1EAF23DC"/>
    <w:rsid w:val="1F194FED"/>
    <w:rsid w:val="20457D36"/>
    <w:rsid w:val="20C91B14"/>
    <w:rsid w:val="21764115"/>
    <w:rsid w:val="218A687E"/>
    <w:rsid w:val="21BE2D6B"/>
    <w:rsid w:val="221563A4"/>
    <w:rsid w:val="22495FF0"/>
    <w:rsid w:val="224C78C3"/>
    <w:rsid w:val="225119A3"/>
    <w:rsid w:val="22B97967"/>
    <w:rsid w:val="23274D04"/>
    <w:rsid w:val="24293121"/>
    <w:rsid w:val="25085EAD"/>
    <w:rsid w:val="2544717F"/>
    <w:rsid w:val="261A291E"/>
    <w:rsid w:val="26343CEA"/>
    <w:rsid w:val="26B65EF3"/>
    <w:rsid w:val="26BA6FC5"/>
    <w:rsid w:val="26DA7D9F"/>
    <w:rsid w:val="27657E0A"/>
    <w:rsid w:val="28E61694"/>
    <w:rsid w:val="2D906BCC"/>
    <w:rsid w:val="2DCC48F7"/>
    <w:rsid w:val="2E527AA2"/>
    <w:rsid w:val="2F9E4207"/>
    <w:rsid w:val="2FF65D56"/>
    <w:rsid w:val="307F379F"/>
    <w:rsid w:val="31C43A7D"/>
    <w:rsid w:val="328838B6"/>
    <w:rsid w:val="32FDC5A7"/>
    <w:rsid w:val="331E5B27"/>
    <w:rsid w:val="33265546"/>
    <w:rsid w:val="332C04A2"/>
    <w:rsid w:val="34BA304A"/>
    <w:rsid w:val="34ED74F2"/>
    <w:rsid w:val="351B7DDD"/>
    <w:rsid w:val="353D1687"/>
    <w:rsid w:val="357D877C"/>
    <w:rsid w:val="359A369F"/>
    <w:rsid w:val="372E7AA8"/>
    <w:rsid w:val="378B3228"/>
    <w:rsid w:val="379E3B0B"/>
    <w:rsid w:val="388B7AEF"/>
    <w:rsid w:val="3AE368D4"/>
    <w:rsid w:val="3BB7B113"/>
    <w:rsid w:val="3BDF6925"/>
    <w:rsid w:val="3C3743BC"/>
    <w:rsid w:val="3CA84987"/>
    <w:rsid w:val="3CF45628"/>
    <w:rsid w:val="3E5C9119"/>
    <w:rsid w:val="3EDE6333"/>
    <w:rsid w:val="3EEFC832"/>
    <w:rsid w:val="3EFB20DE"/>
    <w:rsid w:val="3F6B5025"/>
    <w:rsid w:val="3FF7C0F0"/>
    <w:rsid w:val="402A2865"/>
    <w:rsid w:val="424E5496"/>
    <w:rsid w:val="43EF39C7"/>
    <w:rsid w:val="444E5CDD"/>
    <w:rsid w:val="44E4041B"/>
    <w:rsid w:val="45002C52"/>
    <w:rsid w:val="45350D14"/>
    <w:rsid w:val="46A74EC1"/>
    <w:rsid w:val="4729002E"/>
    <w:rsid w:val="4767F039"/>
    <w:rsid w:val="485E1AEF"/>
    <w:rsid w:val="49901227"/>
    <w:rsid w:val="49DD4FC6"/>
    <w:rsid w:val="49E13AFC"/>
    <w:rsid w:val="4AE6342B"/>
    <w:rsid w:val="4B6E373C"/>
    <w:rsid w:val="4D4052E5"/>
    <w:rsid w:val="4E932C9A"/>
    <w:rsid w:val="4ED8B930"/>
    <w:rsid w:val="4FF76480"/>
    <w:rsid w:val="50206CFF"/>
    <w:rsid w:val="50A617EB"/>
    <w:rsid w:val="50B45493"/>
    <w:rsid w:val="516F72BF"/>
    <w:rsid w:val="519B00B4"/>
    <w:rsid w:val="51A71458"/>
    <w:rsid w:val="51AB6952"/>
    <w:rsid w:val="51D7584A"/>
    <w:rsid w:val="54C17D1B"/>
    <w:rsid w:val="55D96E07"/>
    <w:rsid w:val="56360787"/>
    <w:rsid w:val="56BA5FEE"/>
    <w:rsid w:val="56E81906"/>
    <w:rsid w:val="57BE531B"/>
    <w:rsid w:val="58690919"/>
    <w:rsid w:val="59856CD7"/>
    <w:rsid w:val="59BB0E7A"/>
    <w:rsid w:val="5A6B0F6B"/>
    <w:rsid w:val="5B745843"/>
    <w:rsid w:val="5B7B2AEF"/>
    <w:rsid w:val="5BBFCB5B"/>
    <w:rsid w:val="5BDF7B0E"/>
    <w:rsid w:val="5C6E089F"/>
    <w:rsid w:val="5CAC14E4"/>
    <w:rsid w:val="5D73727E"/>
    <w:rsid w:val="5DC051A2"/>
    <w:rsid w:val="5DC71941"/>
    <w:rsid w:val="5E1A54D9"/>
    <w:rsid w:val="5E4A0350"/>
    <w:rsid w:val="5E5A5566"/>
    <w:rsid w:val="5E712F19"/>
    <w:rsid w:val="5EF252C4"/>
    <w:rsid w:val="5F1BB55D"/>
    <w:rsid w:val="5FB5EC3F"/>
    <w:rsid w:val="5FB73AA4"/>
    <w:rsid w:val="5FDF63B2"/>
    <w:rsid w:val="5FF7C2CB"/>
    <w:rsid w:val="60222C6B"/>
    <w:rsid w:val="60600481"/>
    <w:rsid w:val="60B13992"/>
    <w:rsid w:val="61B21AEC"/>
    <w:rsid w:val="623E6C46"/>
    <w:rsid w:val="63145CAE"/>
    <w:rsid w:val="633B4349"/>
    <w:rsid w:val="64B748AA"/>
    <w:rsid w:val="65F95EE7"/>
    <w:rsid w:val="65FE26C0"/>
    <w:rsid w:val="661D4A76"/>
    <w:rsid w:val="6664578C"/>
    <w:rsid w:val="69C52D24"/>
    <w:rsid w:val="6ACE1828"/>
    <w:rsid w:val="6AFE809A"/>
    <w:rsid w:val="6BFAE3BC"/>
    <w:rsid w:val="6BFDB0AB"/>
    <w:rsid w:val="6C0E7F3B"/>
    <w:rsid w:val="6C5DECD2"/>
    <w:rsid w:val="6C77554D"/>
    <w:rsid w:val="6CB7E603"/>
    <w:rsid w:val="6DEC6672"/>
    <w:rsid w:val="6E9EE69C"/>
    <w:rsid w:val="6FFD7AE6"/>
    <w:rsid w:val="70226CA8"/>
    <w:rsid w:val="702D7FF3"/>
    <w:rsid w:val="70310186"/>
    <w:rsid w:val="709359BE"/>
    <w:rsid w:val="7128420E"/>
    <w:rsid w:val="719C21C7"/>
    <w:rsid w:val="737B5C7E"/>
    <w:rsid w:val="742C1313"/>
    <w:rsid w:val="745229A8"/>
    <w:rsid w:val="74602D62"/>
    <w:rsid w:val="74C17803"/>
    <w:rsid w:val="7600473B"/>
    <w:rsid w:val="773DBD78"/>
    <w:rsid w:val="775227E4"/>
    <w:rsid w:val="777DD7B3"/>
    <w:rsid w:val="77DE7B73"/>
    <w:rsid w:val="77E533DC"/>
    <w:rsid w:val="77FD872F"/>
    <w:rsid w:val="785901FD"/>
    <w:rsid w:val="78E26444"/>
    <w:rsid w:val="79792195"/>
    <w:rsid w:val="7A4A43F0"/>
    <w:rsid w:val="7AC52D27"/>
    <w:rsid w:val="7AEF91F7"/>
    <w:rsid w:val="7AFE66F4"/>
    <w:rsid w:val="7BB77D85"/>
    <w:rsid w:val="7BBA3EFB"/>
    <w:rsid w:val="7BBD52E5"/>
    <w:rsid w:val="7BF03CE7"/>
    <w:rsid w:val="7BFEED23"/>
    <w:rsid w:val="7C5C650E"/>
    <w:rsid w:val="7C66646B"/>
    <w:rsid w:val="7C74D094"/>
    <w:rsid w:val="7C8A0E17"/>
    <w:rsid w:val="7D1302B3"/>
    <w:rsid w:val="7D5DB667"/>
    <w:rsid w:val="7D7E7E67"/>
    <w:rsid w:val="7DD790C3"/>
    <w:rsid w:val="7DDFA4B0"/>
    <w:rsid w:val="7EEE106C"/>
    <w:rsid w:val="7EFFB8BA"/>
    <w:rsid w:val="7F044026"/>
    <w:rsid w:val="7F0BD1A1"/>
    <w:rsid w:val="7F526CCC"/>
    <w:rsid w:val="7F596404"/>
    <w:rsid w:val="7FC5201F"/>
    <w:rsid w:val="7FE8C14E"/>
    <w:rsid w:val="7FEB70BB"/>
    <w:rsid w:val="7FF712DD"/>
    <w:rsid w:val="7FFB7C59"/>
    <w:rsid w:val="7FFD100D"/>
    <w:rsid w:val="7FFF0003"/>
    <w:rsid w:val="7FFF3E27"/>
    <w:rsid w:val="8B372FFD"/>
    <w:rsid w:val="9BDFBAC1"/>
    <w:rsid w:val="9FFB1192"/>
    <w:rsid w:val="9FFE08CA"/>
    <w:rsid w:val="A7FF0260"/>
    <w:rsid w:val="AB4DC60F"/>
    <w:rsid w:val="B3AF62EC"/>
    <w:rsid w:val="B5A72EF7"/>
    <w:rsid w:val="B6BF5DFA"/>
    <w:rsid w:val="B7EBE4DE"/>
    <w:rsid w:val="B7EF0EA8"/>
    <w:rsid w:val="B7EFB124"/>
    <w:rsid w:val="BCFDD50C"/>
    <w:rsid w:val="BE6568C3"/>
    <w:rsid w:val="BEC75FE7"/>
    <w:rsid w:val="BF752DE0"/>
    <w:rsid w:val="BFDD27BE"/>
    <w:rsid w:val="BFE736D8"/>
    <w:rsid w:val="BFF95AFE"/>
    <w:rsid w:val="C3EFF44C"/>
    <w:rsid w:val="C77A941E"/>
    <w:rsid w:val="CDB888E3"/>
    <w:rsid w:val="CF7F61C1"/>
    <w:rsid w:val="DB9F8B0E"/>
    <w:rsid w:val="DF3F520D"/>
    <w:rsid w:val="DF7FDE76"/>
    <w:rsid w:val="DFF53AD4"/>
    <w:rsid w:val="E87F6CD3"/>
    <w:rsid w:val="E9F378ED"/>
    <w:rsid w:val="F2378767"/>
    <w:rsid w:val="F23B1736"/>
    <w:rsid w:val="F3CF86E5"/>
    <w:rsid w:val="F73F97D0"/>
    <w:rsid w:val="F7FD1C31"/>
    <w:rsid w:val="F96F610B"/>
    <w:rsid w:val="F9F3EFCC"/>
    <w:rsid w:val="FB7FC71B"/>
    <w:rsid w:val="FBD3EAF7"/>
    <w:rsid w:val="FBE7E59D"/>
    <w:rsid w:val="FCFF73A2"/>
    <w:rsid w:val="FD9E20EE"/>
    <w:rsid w:val="FDF29BDB"/>
    <w:rsid w:val="FE9D67B6"/>
    <w:rsid w:val="FEDB6181"/>
    <w:rsid w:val="FF5F4B21"/>
    <w:rsid w:val="FFF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9"/>
      <w:ind w:left="1730"/>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8832</Words>
  <Characters>9410</Characters>
  <Lines>31</Lines>
  <Paragraphs>8</Paragraphs>
  <TotalTime>1</TotalTime>
  <ScaleCrop>false</ScaleCrop>
  <LinksUpToDate>false</LinksUpToDate>
  <CharactersWithSpaces>9671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2020-03-03T11:35:00Z</dcterms:created>
  <dc:creator>lenovo</dc:creator>
  <cp:lastModifiedBy>雨</cp:lastModifiedBy>
  <cp:lastPrinted>2024-08-14T07:54:00Z</cp:lastPrinted>
  <dcterms:modified xsi:type="dcterms:W3CDTF">2025-08-22T08:23:52Z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C770A67EAB2B4638BEDABDDBA2255DAE</vt:lpwstr>
  </property>
  <property fmtid="{D5CDD505-2E9C-101B-9397-08002B2CF9AE}" pid="4" name="KSOTemplateDocerSaveRecord">
    <vt:lpwstr>eyJoZGlkIjoiNzNlMjcwYjljZTdkNDhlYjk0MmY1ZTNmZWQxZjFhYzYiLCJ1c2VySWQiOiIyMzc4OTU0NTcifQ==</vt:lpwstr>
  </property>
</Properties>
</file>